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 w:lineRule="auto"/>
        <w:jc w:val="center"/>
        <w:rPr>
          <w:rFonts w:ascii="Open Sans" w:cs="Open Sans" w:eastAsia="Open Sans" w:hAnsi="Open Sans"/>
          <w:b w:val="1"/>
          <w:bCs w:val="1"/>
          <w:color w:val="255b8e"/>
          <w:sz w:val="32"/>
          <w:szCs w:val="32"/>
        </w:rPr>
      </w:pPr>
      <w:r w:rsidDel="00000000" w:rsidR="00000000" w:rsidRPr="00000000">
        <w:rPr>
          <w:rFonts w:ascii="Open Sans" w:cs="Open Sans" w:eastAsia="Open Sans" w:hAnsi="Open Sans"/>
          <w:b w:val="1"/>
          <w:bCs w:val="1"/>
          <w:color w:val="255b8e"/>
          <w:sz w:val="32"/>
          <w:szCs w:val="32"/>
          <w:rtl w:val="0"/>
        </w:rPr>
        <w:t xml:space="preserve">Notificación de Demanda Colectiva</w:t>
      </w:r>
    </w:p>
    <w:p w:rsidR="00000000" w:rsidDel="00000000" w:rsidP="00000000" w:rsidRDefault="00000000" w:rsidRPr="00000000" w14:paraId="00000002">
      <w:pPr>
        <w:spacing w:after="0" w:line="192" w:lineRule="auto"/>
        <w:ind w:firstLine="720"/>
        <w:jc w:val="center"/>
        <w:rPr>
          <w:rFonts w:ascii="Open Sans" w:cs="Open Sans" w:eastAsia="Open Sans" w:hAnsi="Open Sans"/>
          <w:b w:val="1"/>
          <w:bCs w:val="1"/>
          <w:i w:val="1"/>
          <w:iCs w:val="1"/>
          <w:color w:val="1f4e79"/>
          <w:sz w:val="28"/>
          <w:szCs w:val="28"/>
        </w:rPr>
      </w:pPr>
      <w:r w:rsidDel="00000000" w:rsidR="00000000" w:rsidRPr="00000000">
        <w:rPr>
          <w:rFonts w:ascii="Open Sans" w:cs="Open Sans" w:eastAsia="Open Sans" w:hAnsi="Open Sans"/>
          <w:i w:val="1"/>
          <w:iCs w:val="1"/>
          <w:sz w:val="24"/>
          <w:szCs w:val="24"/>
          <w:rtl w:val="0"/>
        </w:rPr>
        <w:t xml:space="preserve">LaDella Williams, et. al. v. City of Albuquerque, </w:t>
      </w:r>
      <w:r w:rsidDel="00000000" w:rsidR="00000000" w:rsidRPr="00000000">
        <w:rPr>
          <w:rFonts w:ascii="Open Sans" w:cs="Open Sans" w:eastAsia="Open Sans" w:hAnsi="Open Sans"/>
          <w:sz w:val="24"/>
          <w:szCs w:val="24"/>
          <w:rtl w:val="0"/>
        </w:rPr>
        <w:t xml:space="preserve">No. de Caso D-202-CV-2022-07562</w:t>
      </w:r>
      <w:r w:rsidDel="00000000" w:rsidR="00000000" w:rsidRPr="00000000">
        <w:rPr/>
        <mc:AlternateContent>
          <mc:Choice Requires="wpg">
            <w:drawing>
              <wp:inline distB="0" distT="0" distL="0" distR="0">
                <wp:extent cx="342900" cy="342900"/>
                <wp:effectExtent b="0" l="0" r="0" t="0"/>
                <wp:docPr descr="New Mexico Courts Main Site" id="1948362295"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42900" cy="342900"/>
                <wp:effectExtent b="0" l="0" r="0" t="0"/>
                <wp:docPr descr="New Mexico Courts Main Site" id="1948362295" name="image1.png"/>
                <a:graphic>
                  <a:graphicData uri="http://schemas.openxmlformats.org/drawingml/2006/picture">
                    <pic:pic>
                      <pic:nvPicPr>
                        <pic:cNvPr descr="New Mexico Courts Main Site" id="0" name="image1.png"/>
                        <pic:cNvPicPr preferRelativeResize="0"/>
                      </pic:nvPicPr>
                      <pic:blipFill>
                        <a:blip r:embed="rId7"/>
                        <a:srcRect/>
                        <a:stretch>
                          <a:fillRect/>
                        </a:stretch>
                      </pic:blipFill>
                      <pic:spPr>
                        <a:xfrm>
                          <a:off x="0" y="0"/>
                          <a:ext cx="342900" cy="3429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3">
      <w:pPr>
        <w:widowControl w:val="0"/>
        <w:pBdr>
          <w:top w:color="1f4e79" w:space="4" w:sz="18" w:val="single"/>
          <w:left w:color="1f4e79" w:space="4" w:sz="18" w:val="single"/>
          <w:bottom w:color="1f4e79" w:space="4" w:sz="18" w:val="single"/>
          <w:right w:color="1f4e79" w:space="5" w:sz="18" w:val="single"/>
        </w:pBdr>
        <w:shd w:fill="156082" w:val="clear"/>
        <w:spacing w:after="0" w:before="240" w:line="240" w:lineRule="auto"/>
        <w:jc w:val="both"/>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¿Por qué recibió esta notificación?</w:t>
      </w:r>
    </w:p>
    <w:p w:rsidR="00000000" w:rsidDel="00000000" w:rsidP="00000000" w:rsidRDefault="00000000" w:rsidRPr="00000000" w14:paraId="00000004">
      <w:pPr>
        <w:widowControl w:val="0"/>
        <w:spacing w:after="0" w:line="240" w:lineRule="auto"/>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El propósito de esta notificación es informarle sobre la certificación de una demanda colectiva</w:t>
      </w:r>
      <w:r w:rsidDel="00000000" w:rsidR="00000000" w:rsidRPr="00000000">
        <w:rPr>
          <w:rFonts w:ascii="Open Sans" w:cs="Open Sans" w:eastAsia="Open Sans" w:hAnsi="Open Sans"/>
          <w:i w:val="1"/>
          <w:iCs w:val="1"/>
          <w:sz w:val="19"/>
          <w:szCs w:val="19"/>
          <w:rtl w:val="0"/>
        </w:rPr>
        <w:t xml:space="preserve">, LaDella Williams, et. al. V. la Ciudad de Albuquerque,</w:t>
      </w:r>
      <w:r w:rsidDel="00000000" w:rsidR="00000000" w:rsidRPr="00000000">
        <w:rPr>
          <w:rFonts w:ascii="Open Sans" w:cs="Open Sans" w:eastAsia="Open Sans" w:hAnsi="Open Sans"/>
          <w:sz w:val="19"/>
          <w:szCs w:val="19"/>
          <w:rtl w:val="0"/>
        </w:rPr>
        <w:t xml:space="preserve"> presentada en nombre de todas las personas que vivieron en el Parque Coronado en cualquier momento entre el 3 de agosto de 2022 y el 17 de agosto de 2022, cuyas propiedades fueron presuntamente incautadas ilegalmente por la Ciudad de Albuquerque y no fueron devueltas. Recibió este aviso porque </w:t>
      </w:r>
      <w:r w:rsidDel="00000000" w:rsidR="00000000" w:rsidRPr="00000000">
        <w:rPr>
          <w:rFonts w:ascii="Open Sans" w:cs="Open Sans" w:eastAsia="Open Sans" w:hAnsi="Open Sans"/>
          <w:b w:val="1"/>
          <w:bCs w:val="1"/>
          <w:sz w:val="19"/>
          <w:szCs w:val="19"/>
          <w:u w:val="single"/>
          <w:rtl w:val="0"/>
        </w:rPr>
        <w:t xml:space="preserve">podría ser una de las personas presuntamente afectadas,</w:t>
      </w:r>
      <w:r w:rsidDel="00000000" w:rsidR="00000000" w:rsidRPr="00000000">
        <w:rPr>
          <w:rFonts w:ascii="Open Sans" w:cs="Open Sans" w:eastAsia="Open Sans" w:hAnsi="Open Sans"/>
          <w:sz w:val="19"/>
          <w:szCs w:val="19"/>
          <w:rtl w:val="0"/>
        </w:rPr>
        <w:t xml:space="preserve"> denominadas el «grupo». </w:t>
      </w:r>
    </w:p>
    <w:p w:rsidR="00000000" w:rsidDel="00000000" w:rsidP="00000000" w:rsidRDefault="00000000" w:rsidRPr="00000000" w14:paraId="00000005">
      <w:pPr>
        <w:widowControl w:val="0"/>
        <w:spacing w:after="0" w:line="240" w:lineRule="auto"/>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Si el grupo puede demostrar que la ciudad actuó ilegalmente al incautar y no devolver los bienes, </w:t>
      </w:r>
      <w:r w:rsidDel="00000000" w:rsidR="00000000" w:rsidRPr="00000000">
        <w:rPr>
          <w:rFonts w:ascii="Open Sans" w:cs="Open Sans" w:eastAsia="Open Sans" w:hAnsi="Open Sans"/>
          <w:b w:val="1"/>
          <w:bCs w:val="1"/>
          <w:sz w:val="19"/>
          <w:szCs w:val="19"/>
          <w:u w:val="single"/>
          <w:rtl w:val="0"/>
        </w:rPr>
        <w:t xml:space="preserve">se publicará otra notificación que explicará cómo los miembros del grupo pueden presentar una reclamación para solicitar una indemnización por sus pérdidas</w:t>
      </w:r>
      <w:r w:rsidDel="00000000" w:rsidR="00000000" w:rsidRPr="00000000">
        <w:rPr>
          <w:rFonts w:ascii="Open Sans" w:cs="Open Sans" w:eastAsia="Open Sans" w:hAnsi="Open Sans"/>
          <w:sz w:val="19"/>
          <w:szCs w:val="19"/>
          <w:rtl w:val="0"/>
        </w:rPr>
        <w:t xml:space="preserve">. Esta notificación le indica cómo obtener más información sobre el caso. La ciudad de Albuquerque niega haber incautado o destruido ilegalmente los bienes personales de las personas que vivían en Coronado Park entre el 3 de agosto de 2022 y el 17 de agosto de 2022.</w:t>
      </w:r>
    </w:p>
    <w:p w:rsidR="00000000" w:rsidDel="00000000" w:rsidP="00000000" w:rsidRDefault="00000000" w:rsidRPr="00000000" w14:paraId="00000006">
      <w:pPr>
        <w:widowControl w:val="0"/>
        <w:spacing w:after="0" w:line="240" w:lineRule="auto"/>
        <w:rPr>
          <w:rFonts w:ascii="Open Sans" w:cs="Open Sans" w:eastAsia="Open Sans" w:hAnsi="Open Sans"/>
          <w:sz w:val="12"/>
          <w:szCs w:val="12"/>
        </w:rPr>
      </w:pPr>
      <w:r w:rsidDel="00000000" w:rsidR="00000000" w:rsidRPr="00000000">
        <w:rPr>
          <w:rtl w:val="0"/>
        </w:rPr>
      </w:r>
    </w:p>
    <w:tbl>
      <w:tblPr>
        <w:tblStyle w:val="Table1"/>
        <w:tblW w:w="105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9000"/>
        <w:tblGridChange w:id="0">
          <w:tblGrid>
            <w:gridCol w:w="1530"/>
            <w:gridCol w:w="9000"/>
          </w:tblGrid>
        </w:tblGridChange>
      </w:tblGrid>
      <w:tr>
        <w:trPr>
          <w:cantSplit w:val="0"/>
          <w:trHeight w:val="432" w:hRule="atLeast"/>
          <w:tblHeader w:val="0"/>
        </w:trPr>
        <w:tc>
          <w:tcPr>
            <w:tcBorders>
              <w:top w:color="000000" w:space="0" w:sz="0" w:val="nil"/>
            </w:tcBorders>
            <w:shd w:fill="156082" w:val="clear"/>
            <w:vAlign w:val="center"/>
          </w:tcPr>
          <w:p w:rsidR="00000000" w:rsidDel="00000000" w:rsidP="00000000" w:rsidRDefault="00000000" w:rsidRPr="00000000" w14:paraId="00000007">
            <w:pPr>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Sus opciones:</w:t>
            </w:r>
          </w:p>
        </w:tc>
        <w:tc>
          <w:tcPr>
            <w:tcBorders>
              <w:top w:color="000000" w:space="0" w:sz="0" w:val="nil"/>
            </w:tcBorders>
            <w:shd w:fill="156082" w:val="clear"/>
            <w:vAlign w:val="center"/>
          </w:tcPr>
          <w:p w:rsidR="00000000" w:rsidDel="00000000" w:rsidP="00000000" w:rsidRDefault="00000000" w:rsidRPr="00000000" w14:paraId="00000008">
            <w:pPr>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Más información sobre cada opción:</w:t>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09">
            <w:pPr>
              <w:rPr>
                <w:rFonts w:ascii="Open Sans" w:cs="Open Sans" w:eastAsia="Open Sans" w:hAnsi="Open Sans"/>
                <w:b w:val="1"/>
                <w:bCs w:val="1"/>
                <w:color w:val="000000"/>
                <w:sz w:val="19"/>
                <w:szCs w:val="19"/>
              </w:rPr>
            </w:pPr>
            <w:r w:rsidDel="00000000" w:rsidR="00000000" w:rsidRPr="00000000">
              <w:rPr>
                <w:rFonts w:ascii="Open Sans" w:cs="Open Sans" w:eastAsia="Open Sans" w:hAnsi="Open Sans"/>
                <w:b w:val="1"/>
                <w:bCs w:val="1"/>
                <w:color w:val="000000"/>
                <w:sz w:val="19"/>
                <w:szCs w:val="19"/>
                <w:rtl w:val="0"/>
              </w:rPr>
              <w:t xml:space="preserve">Excluirse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rPr>
                <w:rFonts w:ascii="Open Sans" w:cs="Open Sans" w:eastAsia="Open Sans" w:hAnsi="Open Sans"/>
                <w:sz w:val="19"/>
                <w:szCs w:val="19"/>
              </w:rPr>
            </w:pPr>
            <w:r w:rsidDel="00000000" w:rsidR="00000000" w:rsidRPr="00000000">
              <w:rPr>
                <w:rFonts w:ascii="Open Sans" w:cs="Open Sans" w:eastAsia="Open Sans" w:hAnsi="Open Sans"/>
                <w:color w:val="000000"/>
                <w:sz w:val="19"/>
                <w:szCs w:val="19"/>
                <w:rtl w:val="0"/>
              </w:rPr>
              <w:t xml:space="preserve">Para no participar, complete el Formulario de Exclusión en </w:t>
            </w:r>
            <w:r w:rsidDel="00000000" w:rsidR="00000000" w:rsidRPr="00000000">
              <w:rPr>
                <w:rFonts w:ascii="Open Sans" w:cs="Open Sans" w:eastAsia="Open Sans" w:hAnsi="Open Sans"/>
                <w:sz w:val="20"/>
                <w:szCs w:val="20"/>
                <w:rtl w:val="0"/>
              </w:rPr>
              <w:t xml:space="preserve">www.nmpovertylaw.org/nmclp_resources/williams-class-action-opt-out-form</w:t>
            </w:r>
            <w:r w:rsidDel="00000000" w:rsidR="00000000" w:rsidRPr="00000000">
              <w:rPr>
                <w:rFonts w:ascii="Open Sans" w:cs="Open Sans" w:eastAsia="Open Sans" w:hAnsi="Open Sans"/>
                <w:color w:val="000000"/>
                <w:sz w:val="19"/>
                <w:szCs w:val="19"/>
                <w:rtl w:val="0"/>
              </w:rPr>
              <w:t xml:space="preserve"> o bájelo, imprímalo y envíelo por correo postal a los abogados de los demandantes. No es necesario hacer ambas cosas. Debe solicitar la exclusión a más tardar el 11 de noviembre de 2026. Si se excluye, usted conservará el derecho de demandar por su cuenta a la Ciudad de Albuquerque por los mismos asuntos, incluso el derecho de contratar a su propio abogado si desea.</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0B">
            <w:pPr>
              <w:rPr>
                <w:rFonts w:ascii="Open Sans" w:cs="Open Sans" w:eastAsia="Open Sans" w:hAnsi="Open Sans"/>
                <w:b w:val="1"/>
                <w:bCs w:val="1"/>
                <w:sz w:val="19"/>
                <w:szCs w:val="19"/>
              </w:rPr>
            </w:pPr>
            <w:r w:rsidDel="00000000" w:rsidR="00000000" w:rsidRPr="00000000">
              <w:rPr>
                <w:rFonts w:ascii="Open Sans" w:cs="Open Sans" w:eastAsia="Open Sans" w:hAnsi="Open Sans"/>
                <w:b w:val="1"/>
                <w:bCs w:val="1"/>
                <w:color w:val="000000"/>
                <w:sz w:val="19"/>
                <w:szCs w:val="19"/>
                <w:rtl w:val="0"/>
              </w:rPr>
              <w:t xml:space="preserve">No hacer nada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rPr>
                <w:rFonts w:ascii="Open Sans" w:cs="Open Sans" w:eastAsia="Open Sans" w:hAnsi="Open Sans"/>
                <w:sz w:val="19"/>
                <w:szCs w:val="19"/>
              </w:rPr>
            </w:pPr>
            <w:r w:rsidDel="00000000" w:rsidR="00000000" w:rsidRPr="00000000">
              <w:rPr>
                <w:rFonts w:ascii="Open Sans" w:cs="Open Sans" w:eastAsia="Open Sans" w:hAnsi="Open Sans"/>
                <w:color w:val="000000"/>
                <w:sz w:val="19"/>
                <w:szCs w:val="19"/>
                <w:rtl w:val="0"/>
              </w:rPr>
              <w:t xml:space="preserve">Si no toma ninguna medida, cualquier fallo del juez se aplicará en a usted, y no podrá demandar a la ciudad de Albuquerque por su propia cuenta por los mismos motivos.</w:t>
            </w:r>
            <w:r w:rsidDel="00000000" w:rsidR="00000000" w:rsidRPr="00000000">
              <w:rPr>
                <w:rtl w:val="0"/>
              </w:rPr>
            </w:r>
          </w:p>
        </w:tc>
      </w:tr>
    </w:tbl>
    <w:p w:rsidR="00000000" w:rsidDel="00000000" w:rsidP="00000000" w:rsidRDefault="00000000" w:rsidRPr="00000000" w14:paraId="0000000D">
      <w:pPr>
        <w:widowControl w:val="0"/>
        <w:spacing w:after="0" w:line="240" w:lineRule="auto"/>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0E">
      <w:pPr>
        <w:widowControl w:val="0"/>
        <w:spacing w:after="0" w:line="240" w:lineRule="auto"/>
        <w:rPr>
          <w:rFonts w:ascii="Open Sans" w:cs="Open Sans" w:eastAsia="Open Sans" w:hAnsi="Open Sans"/>
          <w:b w:val="1"/>
          <w:bCs w:val="1"/>
          <w:sz w:val="19"/>
          <w:szCs w:val="19"/>
        </w:rPr>
      </w:pPr>
      <w:r w:rsidDel="00000000" w:rsidR="00000000" w:rsidRPr="00000000">
        <w:rPr>
          <w:rFonts w:ascii="Open Sans" w:cs="Open Sans" w:eastAsia="Open Sans" w:hAnsi="Open Sans"/>
          <w:b w:val="1"/>
          <w:bCs w:val="1"/>
          <w:sz w:val="19"/>
          <w:szCs w:val="19"/>
          <w:rtl w:val="0"/>
        </w:rPr>
        <w:t xml:space="preserve">Usted puede aprender más si llama a The New Mexico Center on Law and Poverty al (505) 302-3853. Avísales que usted llama con respecto al caso </w:t>
      </w:r>
      <w:r w:rsidDel="00000000" w:rsidR="00000000" w:rsidRPr="00000000">
        <w:rPr>
          <w:rFonts w:ascii="Open Sans" w:cs="Open Sans" w:eastAsia="Open Sans" w:hAnsi="Open Sans"/>
          <w:b w:val="1"/>
          <w:bCs w:val="1"/>
          <w:i w:val="1"/>
          <w:iCs w:val="1"/>
          <w:sz w:val="19"/>
          <w:szCs w:val="19"/>
          <w:rtl w:val="0"/>
        </w:rPr>
        <w:t xml:space="preserve">Williams</w:t>
      </w:r>
      <w:r w:rsidDel="00000000" w:rsidR="00000000" w:rsidRPr="00000000">
        <w:rPr>
          <w:rFonts w:ascii="Open Sans" w:cs="Open Sans" w:eastAsia="Open Sans" w:hAnsi="Open Sans"/>
          <w:b w:val="1"/>
          <w:bCs w:val="1"/>
          <w:sz w:val="19"/>
          <w:szCs w:val="19"/>
          <w:rtl w:val="0"/>
        </w:rPr>
        <w:t xml:space="preserve">. </w:t>
      </w:r>
    </w:p>
    <w:p w:rsidR="00000000" w:rsidDel="00000000" w:rsidP="00000000" w:rsidRDefault="00000000" w:rsidRPr="00000000" w14:paraId="0000000F">
      <w:pPr>
        <w:widowControl w:val="0"/>
        <w:spacing w:after="0" w:line="240" w:lineRule="auto"/>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10">
      <w:pPr>
        <w:widowControl w:val="0"/>
        <w:pBdr>
          <w:top w:color="1f4e79" w:space="4" w:sz="18" w:val="single"/>
          <w:left w:color="1f4e79" w:space="4" w:sz="18" w:val="single"/>
          <w:bottom w:color="1f4e79" w:space="4" w:sz="18" w:val="single"/>
          <w:right w:color="1f4e79" w:space="4" w:sz="18" w:val="single"/>
        </w:pBdr>
        <w:shd w:fill="156082" w:val="clear"/>
        <w:spacing w:after="0" w:before="240" w:line="240" w:lineRule="auto"/>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¿Qué es una certificación de una demanda colectiva?</w:t>
      </w:r>
    </w:p>
    <w:p w:rsidR="00000000" w:rsidDel="00000000" w:rsidP="00000000" w:rsidRDefault="00000000" w:rsidRPr="00000000" w14:paraId="00000011">
      <w:pPr>
        <w:widowControl w:val="0"/>
        <w:pBdr>
          <w:left w:color="1f4e79" w:space="4" w:sz="18" w:val="single"/>
        </w:pBdr>
        <w:tabs>
          <w:tab w:val="left" w:leader="none" w:pos="0"/>
        </w:tabs>
        <w:spacing w:after="0" w:line="240" w:lineRule="auto"/>
        <w:rPr>
          <w:rFonts w:ascii="Open Sans" w:cs="Open Sans" w:eastAsia="Open Sans" w:hAnsi="Open Sans"/>
          <w:sz w:val="19"/>
          <w:szCs w:val="19"/>
        </w:rPr>
      </w:pPr>
      <w:r w:rsidDel="00000000" w:rsidR="00000000" w:rsidRPr="00000000">
        <w:rPr>
          <w:rFonts w:ascii="Open Sans" w:cs="Open Sans" w:eastAsia="Open Sans" w:hAnsi="Open Sans"/>
          <w:color w:val="000000"/>
          <w:sz w:val="19"/>
          <w:szCs w:val="19"/>
          <w:rtl w:val="0"/>
        </w:rPr>
        <w:t xml:space="preserve">El juez determinó que este caso puede proceder en nombre de todas las personas que potencialmente se vean afectadas de la misma manera. En este caso, el juez ha definido al grupo como: todas las personas que vivieron en Coronado Park en cualquier momento entre el 3 de agosto de 2022 y el 17 de agosto de 2022, cuyas propiedades fueron incautadas por la ciudad de Albuquerque y no fueron devueltas. Las siguientes personas son los «representantes del grupo» y están a cargo de representar sus intereses en esta demanda: LaDella Williams, Scott Yelton, Sonja García, Alonso Magallanes, y Rickey Mauk. </w:t>
      </w:r>
      <w:r w:rsidDel="00000000" w:rsidR="00000000" w:rsidRPr="00000000">
        <w:rPr>
          <w:rtl w:val="0"/>
        </w:rPr>
      </w:r>
    </w:p>
    <w:p w:rsidR="00000000" w:rsidDel="00000000" w:rsidP="00000000" w:rsidRDefault="00000000" w:rsidRPr="00000000" w14:paraId="00000012">
      <w:pPr>
        <w:spacing w:after="0" w:line="240" w:lineRule="auto"/>
        <w:rPr>
          <w:rFonts w:ascii="Open Sans" w:cs="Open Sans" w:eastAsia="Open Sans" w:hAnsi="Open Sans"/>
          <w:b w:val="1"/>
          <w:bCs w:val="1"/>
          <w:sz w:val="19"/>
          <w:szCs w:val="19"/>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rPr>
          <w:rFonts w:ascii="Open Sans" w:cs="Open Sans" w:eastAsia="Open Sans" w:hAnsi="Open Sans"/>
          <w:b w:val="1"/>
          <w:bCs w:val="1"/>
          <w:sz w:val="19"/>
          <w:szCs w:val="19"/>
        </w:rPr>
      </w:pPr>
      <w:r w:rsidDel="00000000" w:rsidR="00000000" w:rsidRPr="00000000">
        <w:rPr>
          <w:rFonts w:ascii="Open Sans" w:cs="Open Sans" w:eastAsia="Open Sans" w:hAnsi="Open Sans"/>
          <w:b w:val="1"/>
          <w:bCs w:val="1"/>
          <w:sz w:val="19"/>
          <w:szCs w:val="19"/>
          <w:rtl w:val="0"/>
        </w:rPr>
        <w:t xml:space="preserve">Aspectos clave que debe saber:</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left="720" w:firstLine="0"/>
        <w:rPr>
          <w:rFonts w:ascii="Open Sans" w:cs="Open Sans" w:eastAsia="Open Sans" w:hAnsi="Open Sans"/>
          <w:sz w:val="19"/>
          <w:szCs w:val="19"/>
        </w:rPr>
      </w:pPr>
      <w:r w:rsidDel="00000000" w:rsidR="00000000" w:rsidRPr="00000000">
        <w:rPr>
          <w:rFonts w:ascii="Arial" w:cs="Arial" w:eastAsia="Arial" w:hAnsi="Arial"/>
          <w:b w:val="1"/>
          <w:bCs w:val="1"/>
          <w:sz w:val="19"/>
          <w:szCs w:val="19"/>
          <w:rtl w:val="0"/>
        </w:rPr>
        <w:t xml:space="preserve">●</w:t>
      </w:r>
      <w:r w:rsidDel="00000000" w:rsidR="00000000" w:rsidRPr="00000000">
        <w:rPr>
          <w:rFonts w:ascii="Open Sans" w:cs="Open Sans" w:eastAsia="Open Sans" w:hAnsi="Open Sans"/>
          <w:b w:val="1"/>
          <w:bCs w:val="1"/>
          <w:sz w:val="19"/>
          <w:szCs w:val="19"/>
          <w:rtl w:val="0"/>
        </w:rPr>
        <w:t xml:space="preserve">    </w:t>
      </w:r>
      <w:r w:rsidDel="00000000" w:rsidR="00000000" w:rsidRPr="00000000">
        <w:rPr>
          <w:rFonts w:ascii="Open Sans" w:cs="Open Sans" w:eastAsia="Open Sans" w:hAnsi="Open Sans"/>
          <w:sz w:val="19"/>
          <w:szCs w:val="19"/>
          <w:rtl w:val="0"/>
        </w:rPr>
        <w:t xml:space="preserve">Este es un documento legal importante.</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ind w:left="1080" w:hanging="360"/>
        <w:rPr>
          <w:rFonts w:ascii="Open Sans" w:cs="Open Sans" w:eastAsia="Open Sans" w:hAnsi="Open Sans"/>
          <w:sz w:val="19"/>
          <w:szCs w:val="19"/>
        </w:rPr>
      </w:pPr>
      <w:r w:rsidDel="00000000" w:rsidR="00000000" w:rsidRPr="00000000">
        <w:rPr>
          <w:rFonts w:ascii="Arial" w:cs="Arial" w:eastAsia="Arial" w:hAnsi="Arial"/>
          <w:sz w:val="19"/>
          <w:szCs w:val="19"/>
          <w:rtl w:val="0"/>
        </w:rPr>
        <w:t xml:space="preserve">●    </w:t>
      </w:r>
      <w:r w:rsidDel="00000000" w:rsidR="00000000" w:rsidRPr="00000000">
        <w:rPr>
          <w:rFonts w:ascii="Open Sans" w:cs="Open Sans" w:eastAsia="Open Sans" w:hAnsi="Open Sans"/>
          <w:sz w:val="19"/>
          <w:szCs w:val="19"/>
          <w:rtl w:val="0"/>
        </w:rPr>
        <w:t xml:space="preserve">El juez no ha determinado que la ciudad de Albuquerque haya actuado de manera incorrecta.</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ind w:left="720" w:firstLine="0"/>
        <w:rPr>
          <w:rFonts w:ascii="Open Sans" w:cs="Open Sans" w:eastAsia="Open Sans" w:hAnsi="Open Sans"/>
          <w:sz w:val="19"/>
          <w:szCs w:val="19"/>
        </w:rPr>
      </w:pPr>
      <w:r w:rsidDel="00000000" w:rsidR="00000000" w:rsidRPr="00000000">
        <w:rPr>
          <w:rFonts w:ascii="Arial" w:cs="Arial" w:eastAsia="Arial" w:hAnsi="Arial"/>
          <w:sz w:val="19"/>
          <w:szCs w:val="19"/>
          <w:rtl w:val="0"/>
        </w:rPr>
        <w:t xml:space="preserve">●</w:t>
      </w:r>
      <w:r w:rsidDel="00000000" w:rsidR="00000000" w:rsidRPr="00000000">
        <w:rPr>
          <w:rFonts w:ascii="Open Sans" w:cs="Open Sans" w:eastAsia="Open Sans" w:hAnsi="Open Sans"/>
          <w:sz w:val="19"/>
          <w:szCs w:val="19"/>
          <w:rtl w:val="0"/>
        </w:rPr>
        <w:t xml:space="preserve">    No hay garantía de que alguien vaya a recuperar dinero.</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left="1080" w:hanging="360"/>
        <w:rPr>
          <w:rFonts w:ascii="Open Sans" w:cs="Open Sans" w:eastAsia="Open Sans" w:hAnsi="Open Sans"/>
          <w:sz w:val="19"/>
          <w:szCs w:val="19"/>
        </w:rPr>
      </w:pPr>
      <w:r w:rsidDel="00000000" w:rsidR="00000000" w:rsidRPr="00000000">
        <w:rPr>
          <w:rFonts w:ascii="Arial" w:cs="Arial" w:eastAsia="Arial" w:hAnsi="Arial"/>
          <w:sz w:val="19"/>
          <w:szCs w:val="19"/>
          <w:rtl w:val="0"/>
        </w:rPr>
        <w:t xml:space="preserve">●    </w:t>
      </w:r>
      <w:r w:rsidDel="00000000" w:rsidR="00000000" w:rsidRPr="00000000">
        <w:rPr>
          <w:rFonts w:ascii="Open Sans" w:cs="Open Sans" w:eastAsia="Open Sans" w:hAnsi="Open Sans"/>
          <w:sz w:val="19"/>
          <w:szCs w:val="19"/>
          <w:rtl w:val="0"/>
        </w:rPr>
        <w:t xml:space="preserve">Si no toma ninguna medida, cualquier fallo del juez se aplicará a su caso y no podrá demandar por su cuenta a la ciudad de Albuquerque por los mismos motivos.</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left="720" w:firstLine="0"/>
        <w:rPr>
          <w:rFonts w:ascii="Open Sans" w:cs="Open Sans" w:eastAsia="Open Sans" w:hAnsi="Open Sans"/>
          <w:sz w:val="19"/>
          <w:szCs w:val="19"/>
        </w:rPr>
      </w:pPr>
      <w:r w:rsidDel="00000000" w:rsidR="00000000" w:rsidRPr="00000000">
        <w:rPr>
          <w:rFonts w:ascii="Arial" w:cs="Arial" w:eastAsia="Arial" w:hAnsi="Arial"/>
          <w:sz w:val="19"/>
          <w:szCs w:val="19"/>
          <w:rtl w:val="0"/>
        </w:rPr>
        <w:t xml:space="preserve">●</w:t>
      </w:r>
      <w:r w:rsidDel="00000000" w:rsidR="00000000" w:rsidRPr="00000000">
        <w:rPr>
          <w:rFonts w:ascii="Open Sans" w:cs="Open Sans" w:eastAsia="Open Sans" w:hAnsi="Open Sans"/>
          <w:sz w:val="19"/>
          <w:szCs w:val="19"/>
          <w:rtl w:val="0"/>
        </w:rPr>
        <w:t xml:space="preserve">    Si tiene preguntas o necesita ayuda, llame al 505-302-3853.</w:t>
      </w:r>
    </w:p>
    <w:tbl>
      <w:tblPr>
        <w:tblStyle w:val="Table2"/>
        <w:tblW w:w="10395.0" w:type="dxa"/>
        <w:jc w:val="left"/>
        <w:tblInd w:w="-1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5"/>
        <w:gridCol w:w="2295"/>
        <w:gridCol w:w="3735"/>
        <w:tblGridChange w:id="0">
          <w:tblGrid>
            <w:gridCol w:w="4365"/>
            <w:gridCol w:w="2295"/>
            <w:gridCol w:w="3735"/>
          </w:tblGrid>
        </w:tblGridChange>
      </w:tblGrid>
      <w:tr>
        <w:trPr>
          <w:cantSplit w:val="0"/>
          <w:trHeight w:val="260" w:hRule="atLeast"/>
          <w:tblHeader w:val="0"/>
        </w:trPr>
        <w:tc>
          <w:tcPr>
            <w:shd w:fill="156082" w:val="clear"/>
          </w:tcPr>
          <w:p w:rsidR="00000000" w:rsidDel="00000000" w:rsidP="00000000" w:rsidRDefault="00000000" w:rsidRPr="00000000" w14:paraId="00000019">
            <w:pPr>
              <w:widowControl w:val="0"/>
              <w:shd w:fill="156082" w:val="clear"/>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Abogados por los demandantes</w:t>
            </w:r>
          </w:p>
        </w:tc>
        <w:tc>
          <w:tcPr>
            <w:shd w:fill="156082" w:val="clear"/>
          </w:tcPr>
          <w:p w:rsidR="00000000" w:rsidDel="00000000" w:rsidP="00000000" w:rsidRDefault="00000000" w:rsidRPr="00000000" w14:paraId="0000001A">
            <w:pPr>
              <w:widowControl w:val="0"/>
              <w:shd w:fill="156082" w:val="clear"/>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Número telefónico</w:t>
            </w:r>
          </w:p>
        </w:tc>
        <w:tc>
          <w:tcPr>
            <w:shd w:fill="156082" w:val="clear"/>
          </w:tcPr>
          <w:p w:rsidR="00000000" w:rsidDel="00000000" w:rsidP="00000000" w:rsidRDefault="00000000" w:rsidRPr="00000000" w14:paraId="0000001B">
            <w:pPr>
              <w:widowControl w:val="0"/>
              <w:shd w:fill="156082" w:val="clear"/>
              <w:jc w:val="center"/>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Sitio de Web</w:t>
            </w:r>
          </w:p>
        </w:tc>
      </w:tr>
      <w:tr>
        <w:trPr>
          <w:cantSplit w:val="0"/>
          <w:tblHeader w:val="0"/>
        </w:trPr>
        <w:tc>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Ives &amp; Flores</w:t>
            </w:r>
          </w:p>
        </w:tc>
        <w:tc>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hyperlink r:id="rId8">
              <w:r w:rsidDel="00000000" w:rsidR="00000000" w:rsidRPr="00000000">
                <w:rPr>
                  <w:rFonts w:ascii="Open Sans" w:cs="Open Sans" w:eastAsia="Open Sans" w:hAnsi="Open Sans"/>
                  <w:color w:val="000000"/>
                  <w:sz w:val="19"/>
                  <w:szCs w:val="19"/>
                  <w:rtl w:val="0"/>
                </w:rPr>
                <w:t xml:space="preserve">(505) 295-7252</w:t>
              </w:r>
            </w:hyperlink>
            <w:r w:rsidDel="00000000" w:rsidR="00000000" w:rsidRPr="00000000">
              <w:rPr>
                <w:rtl w:val="0"/>
              </w:rPr>
            </w:r>
          </w:p>
        </w:tc>
        <w:tc>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left="346" w:hanging="27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https://www.nmcivilrights.com/</w:t>
            </w:r>
          </w:p>
        </w:tc>
      </w:tr>
      <w:tr>
        <w:trPr>
          <w:cantSplit w:val="0"/>
          <w:tblHeader w:val="0"/>
        </w:trPr>
        <w:tc>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ACLU of New Mexico</w:t>
            </w:r>
          </w:p>
        </w:tc>
        <w:tc>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hyperlink r:id="rId9">
              <w:r w:rsidDel="00000000" w:rsidR="00000000" w:rsidRPr="00000000">
                <w:rPr>
                  <w:rFonts w:ascii="Open Sans" w:cs="Open Sans" w:eastAsia="Open Sans" w:hAnsi="Open Sans"/>
                  <w:color w:val="000000"/>
                  <w:sz w:val="19"/>
                  <w:szCs w:val="19"/>
                  <w:rtl w:val="0"/>
                </w:rPr>
                <w:t xml:space="preserve">(505) 266-5915</w:t>
              </w:r>
            </w:hyperlink>
            <w:r w:rsidDel="00000000" w:rsidR="00000000" w:rsidRPr="00000000">
              <w:rPr>
                <w:rtl w:val="0"/>
              </w:rPr>
            </w:r>
          </w:p>
        </w:tc>
        <w:tc>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left="616" w:hanging="54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https://www.aclu-nm.org/</w:t>
            </w:r>
          </w:p>
        </w:tc>
      </w:tr>
      <w:tr>
        <w:trPr>
          <w:cantSplit w:val="0"/>
          <w:tblHeader w:val="0"/>
        </w:trPr>
        <w:tc>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Davis Law New Mexico</w:t>
            </w:r>
          </w:p>
        </w:tc>
        <w:tc>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(505) 242-1904</w:t>
            </w:r>
          </w:p>
        </w:tc>
        <w:tc>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left="720" w:hanging="644"/>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https://www.davislawnm.com/</w:t>
            </w:r>
          </w:p>
        </w:tc>
      </w:tr>
      <w:tr>
        <w:trPr>
          <w:cantSplit w:val="0"/>
          <w:tblHeader w:val="0"/>
        </w:trPr>
        <w:tc>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New Mexico Center on Law and Poverty</w:t>
            </w:r>
          </w:p>
        </w:tc>
        <w:tc>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(505) </w:t>
            </w:r>
            <w:r w:rsidDel="00000000" w:rsidR="00000000" w:rsidRPr="00000000">
              <w:rPr>
                <w:rFonts w:ascii="Open Sans" w:cs="Open Sans" w:eastAsia="Open Sans" w:hAnsi="Open Sans"/>
                <w:sz w:val="19"/>
                <w:szCs w:val="19"/>
                <w:rtl w:val="0"/>
              </w:rPr>
              <w:t xml:space="preserve">302-3853</w:t>
            </w:r>
            <w:r w:rsidDel="00000000" w:rsidR="00000000" w:rsidRPr="00000000">
              <w:rPr>
                <w:rtl w:val="0"/>
              </w:rPr>
            </w:r>
          </w:p>
        </w:tc>
        <w:tc>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left="720" w:hanging="644"/>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https://www.nmpovertylaw.org/</w:t>
            </w:r>
          </w:p>
        </w:tc>
      </w:tr>
      <w:tr>
        <w:trPr>
          <w:cantSplit w:val="0"/>
          <w:tblHeader w:val="0"/>
        </w:trPr>
        <w:tc>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National Homelessness Law Center</w:t>
            </w:r>
          </w:p>
        </w:tc>
        <w:tc>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w:t>
            </w:r>
            <w:hyperlink r:id="rId10">
              <w:r w:rsidDel="00000000" w:rsidR="00000000" w:rsidRPr="00000000">
                <w:rPr>
                  <w:rFonts w:ascii="Open Sans" w:cs="Open Sans" w:eastAsia="Open Sans" w:hAnsi="Open Sans"/>
                  <w:color w:val="000000"/>
                  <w:sz w:val="19"/>
                  <w:szCs w:val="19"/>
                  <w:rtl w:val="0"/>
                </w:rPr>
                <w:t xml:space="preserve">202) 638-2535</w:t>
              </w:r>
            </w:hyperlink>
            <w:r w:rsidDel="00000000" w:rsidR="00000000" w:rsidRPr="00000000">
              <w:rPr>
                <w:rtl w:val="0"/>
              </w:rPr>
            </w:r>
          </w:p>
        </w:tc>
        <w:tc>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left="720" w:hanging="644"/>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https://homelesslaw.org/</w:t>
            </w:r>
          </w:p>
        </w:tc>
      </w:tr>
      <w:tr>
        <w:trPr>
          <w:cantSplit w:val="0"/>
          <w:tblHeader w:val="0"/>
        </w:trPr>
        <w:tc>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Arnold &amp;Porter</w:t>
            </w:r>
          </w:p>
        </w:tc>
        <w:tc>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w:t>
            </w:r>
            <w:hyperlink r:id="rId11">
              <w:r w:rsidDel="00000000" w:rsidR="00000000" w:rsidRPr="00000000">
                <w:rPr>
                  <w:rFonts w:ascii="Open Sans" w:cs="Open Sans" w:eastAsia="Open Sans" w:hAnsi="Open Sans"/>
                  <w:color w:val="000000"/>
                  <w:sz w:val="19"/>
                  <w:szCs w:val="19"/>
                  <w:rtl w:val="0"/>
                </w:rPr>
                <w:t xml:space="preserve">202) 942-5765</w:t>
              </w:r>
            </w:hyperlink>
            <w:r w:rsidDel="00000000" w:rsidR="00000000" w:rsidRPr="00000000">
              <w:rPr>
                <w:rtl w:val="0"/>
              </w:rPr>
            </w:r>
          </w:p>
        </w:tc>
        <w:tc>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left="720" w:hanging="644"/>
              <w:rPr>
                <w:rFonts w:ascii="Open Sans" w:cs="Open Sans" w:eastAsia="Open Sans" w:hAnsi="Open Sans"/>
                <w:color w:val="000000"/>
                <w:sz w:val="19"/>
                <w:szCs w:val="19"/>
              </w:rPr>
            </w:pPr>
            <w:r w:rsidDel="00000000" w:rsidR="00000000" w:rsidRPr="00000000">
              <w:rPr>
                <w:rFonts w:ascii="Open Sans" w:cs="Open Sans" w:eastAsia="Open Sans" w:hAnsi="Open Sans"/>
                <w:color w:val="000000"/>
                <w:sz w:val="19"/>
                <w:szCs w:val="19"/>
                <w:rtl w:val="0"/>
              </w:rPr>
              <w:t xml:space="preserve">https://www.arnoldporter.com/en</w:t>
            </w:r>
          </w:p>
        </w:tc>
      </w:tr>
    </w:tbl>
    <w:p w:rsidR="00000000" w:rsidDel="00000000" w:rsidP="00000000" w:rsidRDefault="00000000" w:rsidRPr="00000000" w14:paraId="0000002E">
      <w:pPr>
        <w:rPr>
          <w:rFonts w:ascii="Open Sans" w:cs="Open Sans" w:eastAsia="Open Sans" w:hAnsi="Open Sans"/>
          <w:color w:val="1f4e79"/>
          <w:sz w:val="28"/>
          <w:szCs w:val="28"/>
        </w:rPr>
      </w:pPr>
      <w:r w:rsidDel="00000000" w:rsidR="00000000" w:rsidRPr="00000000">
        <w:rPr>
          <w:rtl w:val="0"/>
        </w:rPr>
      </w:r>
    </w:p>
    <w:sectPr>
      <w:footerReference r:id="rId12"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character" w:styleId="Hyperlink">
    <w:name w:val="Hyperlink"/>
    <w:basedOn w:val="DefaultParagraphFont"/>
    <w:uiPriority w:val="99"/>
    <w:unhideWhenUsed w:val="1"/>
    <w:rsid w:val="00557C14"/>
    <w:rPr>
      <w:color w:val="0000ff" w:themeColor="hyperlink"/>
      <w:u w:val="single"/>
    </w:rPr>
  </w:style>
  <w:style w:type="character" w:styleId="UnresolvedMention">
    <w:name w:val="Unresolved Mention"/>
    <w:basedOn w:val="DefaultParagraphFont"/>
    <w:uiPriority w:val="99"/>
    <w:semiHidden w:val="1"/>
    <w:unhideWhenUsed w:val="1"/>
    <w:rsid w:val="00557C14"/>
    <w:rPr>
      <w:color w:val="605e5c"/>
      <w:shd w:color="auto" w:fill="e1dfdd" w:val="clear"/>
    </w:rPr>
  </w:style>
  <w:style w:type="paragraph" w:styleId="Header">
    <w:name w:val="header"/>
    <w:basedOn w:val="Normal"/>
    <w:link w:val="HeaderChar"/>
    <w:uiPriority w:val="99"/>
    <w:unhideWhenUsed w:val="1"/>
    <w:rsid w:val="002A1DCD"/>
    <w:pPr>
      <w:tabs>
        <w:tab w:val="center" w:pos="4680"/>
        <w:tab w:val="right" w:pos="9360"/>
      </w:tabs>
      <w:spacing w:after="0" w:line="240" w:lineRule="auto"/>
    </w:pPr>
  </w:style>
  <w:style w:type="character" w:styleId="HeaderChar" w:customStyle="1">
    <w:name w:val="Header Char"/>
    <w:basedOn w:val="DefaultParagraphFont"/>
    <w:link w:val="Header"/>
    <w:uiPriority w:val="99"/>
    <w:rsid w:val="002A1DCD"/>
  </w:style>
  <w:style w:type="paragraph" w:styleId="Footer">
    <w:name w:val="footer"/>
    <w:basedOn w:val="Normal"/>
    <w:link w:val="FooterChar"/>
    <w:uiPriority w:val="99"/>
    <w:unhideWhenUsed w:val="1"/>
    <w:rsid w:val="002A1DCD"/>
    <w:pPr>
      <w:tabs>
        <w:tab w:val="center" w:pos="4680"/>
        <w:tab w:val="right" w:pos="9360"/>
      </w:tabs>
      <w:spacing w:after="0" w:line="240" w:lineRule="auto"/>
    </w:pPr>
  </w:style>
  <w:style w:type="character" w:styleId="FooterChar" w:customStyle="1">
    <w:name w:val="Footer Char"/>
    <w:basedOn w:val="DefaultParagraphFont"/>
    <w:link w:val="Footer"/>
    <w:uiPriority w:val="99"/>
    <w:rsid w:val="002A1DCD"/>
  </w:style>
  <w:style w:type="paragraph" w:styleId="Default" w:customStyle="1">
    <w:name w:val="Default"/>
    <w:uiPriority w:val="99"/>
    <w:rsid w:val="006A6196"/>
    <w:pPr>
      <w:tabs>
        <w:tab w:val="left" w:pos="709"/>
      </w:tabs>
      <w:suppressAutoHyphens w:val="1"/>
      <w:spacing w:after="0" w:line="240" w:lineRule="auto"/>
    </w:pPr>
    <w:rPr>
      <w:rFonts w:ascii="Cambria" w:cs="Cambria" w:hAnsi="Cambria" w:eastAsiaTheme="minorEastAsia"/>
      <w:sz w:val="24"/>
      <w:szCs w:val="24"/>
      <w:lang w:eastAsia="ar-SA" w:val="en-US"/>
    </w:rPr>
  </w:style>
  <w:style w:type="paragraph" w:styleId="ListParagraph">
    <w:name w:val="List Paragraph"/>
    <w:basedOn w:val="Normal"/>
    <w:qFormat w:val="1"/>
    <w:rsid w:val="00814F10"/>
    <w:pPr>
      <w:spacing w:line="278" w:lineRule="auto"/>
      <w:ind w:left="720"/>
      <w:contextualSpacing w:val="1"/>
    </w:pPr>
    <w:rPr>
      <w:rFonts w:asciiTheme="minorHAnsi" w:cstheme="minorBidi" w:eastAsiaTheme="minorHAnsi" w:hAnsiTheme="minorHAnsi"/>
      <w:kern w:val="2"/>
      <w:sz w:val="24"/>
      <w:szCs w:val="24"/>
      <w:lang w:val="en-US"/>
    </w:rPr>
  </w:style>
  <w:style w:type="paragraph" w:styleId="BodyText">
    <w:name w:val="Body Text"/>
    <w:basedOn w:val="Normal"/>
    <w:link w:val="BodyTextChar"/>
    <w:qFormat w:val="1"/>
    <w:rsid w:val="00814F10"/>
    <w:pPr>
      <w:spacing w:after="180" w:before="180" w:line="240" w:lineRule="auto"/>
    </w:pPr>
    <w:rPr>
      <w:rFonts w:asciiTheme="minorHAnsi" w:cstheme="minorBidi" w:eastAsiaTheme="minorEastAsia" w:hAnsiTheme="minorHAnsi"/>
      <w:sz w:val="24"/>
      <w:szCs w:val="24"/>
      <w:lang w:eastAsia="zh-CN" w:val="en-US"/>
    </w:rPr>
  </w:style>
  <w:style w:type="character" w:styleId="BodyTextChar" w:customStyle="1">
    <w:name w:val="Body Text Char"/>
    <w:basedOn w:val="DefaultParagraphFont"/>
    <w:link w:val="BodyText"/>
    <w:rsid w:val="00814F10"/>
    <w:rPr>
      <w:rFonts w:asciiTheme="minorHAnsi" w:cstheme="minorBidi" w:eastAsiaTheme="minorEastAsia" w:hAnsiTheme="minorHAnsi"/>
      <w:sz w:val="24"/>
      <w:szCs w:val="24"/>
      <w:lang w:eastAsia="zh-CN" w:val="en-US"/>
    </w:rPr>
  </w:style>
  <w:style w:type="paragraph" w:styleId="FirstParagraph" w:customStyle="1">
    <w:name w:val="First Paragraph"/>
    <w:basedOn w:val="BodyText"/>
    <w:next w:val="BodyText"/>
    <w:qFormat w:val="1"/>
    <w:rsid w:val="00814F10"/>
  </w:style>
  <w:style w:type="paragraph" w:styleId="Compact" w:customStyle="1">
    <w:name w:val="Compact"/>
    <w:basedOn w:val="BodyText"/>
    <w:qFormat w:val="1"/>
    <w:rsid w:val="00814F10"/>
    <w:pPr>
      <w:spacing w:after="36" w:before="36"/>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tel:+1%20202.942.5765" TargetMode="External"/><Relationship Id="rId10" Type="http://schemas.openxmlformats.org/officeDocument/2006/relationships/hyperlink" Target="tel:202.638.2535" TargetMode="External"/><Relationship Id="rId12" Type="http://schemas.openxmlformats.org/officeDocument/2006/relationships/footer" Target="footer1.xml"/><Relationship Id="rId9" Type="http://schemas.openxmlformats.org/officeDocument/2006/relationships/hyperlink" Target="https://www.google.com/search?q=aclu+of+new+mexico&amp;rlz=1C1RXQR_enUS1096US1099&amp;oq=ACLU+Of+new+mexico&amp;gs_lcrp=EgZjaHJvbWUqCggAEAAY4wIYgAQyCggAEAAY4wIYgAQyDQgBEC4YrwEYxwEYgAQyCAgCEAAYFhgeMggIAxAAGBYYHjIICAQQABgWGB4yCAgFEAAYFhgeMggIBhAAGBYYHjIICAcQABgWGB4yCAgIEAAYFhgeMggICRAAGBYYHtIBCDYyMjJqMGo5qAIAsAIB8QX5xtx-_k9nhQ&amp;sourceid=chrome&amp;ie=UTF-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ogle.com/search?q=Flores+and+Ives&amp;rlz=1C1RXQR_enUS1096US1099&amp;oq=Flores+and+Ives&amp;gs_lcrp=EgZjaHJvbWUyBggAEEUYOTINCAEQABiGAxiABBiKBTIHCAIQABjvBTIHCAMQABjvBTIKCAQQABiABBiiBNIBCDQxNDNqMGo3qAIIsAIB8QWZ8z0iDYvH_g&amp;sourceid=chrome&amp;ie=UTF-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gxzz1qLEBGDjjMO+aLRj0aqm2w==">CgMxLjA4AHIhMTlzRlhUVElOU2RLT2txS2pzdmw4bDRPSURWbzNHaThN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2026-09-02T22:00:00Z</dcterms:created>
  <dc:creator>ACF</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0x010100643B4F5D1586254FA458FF9587383411</vt:lpwstr>
  </property>
  <property fmtid="{D5CDD505-2E9C-101B-9397-08002B2CF9AE}" pid="3" name="MediaServiceImageTags">
    <vt:lpwstr>MediaServiceImageTags</vt:lpwstr>
  </property>
</Properties>
</file>