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Open Sans" w:cs="Open Sans" w:eastAsia="Open Sans" w:hAnsi="Open Sans"/>
          <w:b w:val="1"/>
          <w:bCs w:val="1"/>
          <w:color w:val="255b8e"/>
          <w:sz w:val="36"/>
          <w:szCs w:val="36"/>
        </w:rPr>
      </w:pPr>
      <w:r w:rsidDel="00000000" w:rsidR="00000000" w:rsidRPr="00000000">
        <w:rPr>
          <w:rFonts w:ascii="Open Sans" w:cs="Open Sans" w:eastAsia="Open Sans" w:hAnsi="Open Sans"/>
          <w:b w:val="1"/>
          <w:bCs w:val="1"/>
          <w:color w:val="255b8e"/>
          <w:sz w:val="36"/>
          <w:szCs w:val="36"/>
          <w:rtl w:val="0"/>
        </w:rPr>
        <w:t xml:space="preserve">Class Action Notice</w:t>
      </w:r>
    </w:p>
    <w:p w:rsidR="00000000" w:rsidDel="00000000" w:rsidP="00000000" w:rsidRDefault="00000000" w:rsidRPr="00000000" w14:paraId="00000002">
      <w:pPr>
        <w:spacing w:after="0" w:line="240" w:lineRule="auto"/>
        <w:ind w:firstLine="720"/>
        <w:jc w:val="center"/>
        <w:rPr>
          <w:rFonts w:ascii="Open Sans" w:cs="Open Sans" w:eastAsia="Open Sans" w:hAnsi="Open Sans"/>
          <w:b w:val="1"/>
          <w:bCs w:val="1"/>
          <w:i w:val="1"/>
          <w:iCs w:val="1"/>
          <w:color w:val="1f4e79"/>
          <w:sz w:val="28"/>
          <w:szCs w:val="28"/>
        </w:rPr>
      </w:pPr>
      <w:r w:rsidDel="00000000" w:rsidR="00000000" w:rsidRPr="00000000">
        <w:rPr>
          <w:rFonts w:ascii="Open Sans" w:cs="Open Sans" w:eastAsia="Open Sans" w:hAnsi="Open Sans"/>
          <w:i w:val="1"/>
          <w:iCs w:val="1"/>
          <w:sz w:val="24"/>
          <w:szCs w:val="24"/>
          <w:rtl w:val="0"/>
        </w:rPr>
        <w:t xml:space="preserve">LaDella Williams, et. al. v. City of Albuquerque, </w:t>
      </w:r>
      <w:r w:rsidDel="00000000" w:rsidR="00000000" w:rsidRPr="00000000">
        <w:rPr>
          <w:rFonts w:ascii="Open Sans" w:cs="Open Sans" w:eastAsia="Open Sans" w:hAnsi="Open Sans"/>
          <w:sz w:val="24"/>
          <w:szCs w:val="24"/>
          <w:rtl w:val="0"/>
        </w:rPr>
        <w:t xml:space="preserve">Case No. D-202-CV-2022-07562</w:t>
      </w:r>
      <w:r w:rsidDel="00000000" w:rsidR="00000000" w:rsidRPr="00000000">
        <w:rPr/>
        <mc:AlternateContent>
          <mc:Choice Requires="wpg">
            <w:drawing>
              <wp:inline distB="0" distT="0" distL="0" distR="0">
                <wp:extent cx="333375" cy="333375"/>
                <wp:effectExtent b="0" l="0" r="0" t="0"/>
                <wp:docPr descr="New Mexico Courts Main Site" id="1948362293" name=""/>
                <a:graphic>
                  <a:graphicData uri="http://schemas.microsoft.com/office/word/2010/wordprocessingShape">
                    <wps:wsp>
                      <wps:cNvSpPr/>
                      <wps:cNvPr id="2" name="Shape 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33375" cy="333375"/>
                <wp:effectExtent b="0" l="0" r="0" t="0"/>
                <wp:docPr descr="New Mexico Courts Main Site" id="1948362293" name="image1.png"/>
                <a:graphic>
                  <a:graphicData uri="http://schemas.openxmlformats.org/drawingml/2006/picture">
                    <pic:pic>
                      <pic:nvPicPr>
                        <pic:cNvPr descr="New Mexico Courts Main Site" id="0" name="image1.png"/>
                        <pic:cNvPicPr preferRelativeResize="0"/>
                      </pic:nvPicPr>
                      <pic:blipFill>
                        <a:blip r:embed="rId7"/>
                        <a:srcRect/>
                        <a:stretch>
                          <a:fillRect/>
                        </a:stretch>
                      </pic:blipFill>
                      <pic:spPr>
                        <a:xfrm>
                          <a:off x="0" y="0"/>
                          <a:ext cx="333375" cy="33337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3">
      <w:pPr>
        <w:widowControl w:val="0"/>
        <w:pBdr>
          <w:top w:color="1f4e79" w:space="4" w:sz="18" w:val="single"/>
          <w:left w:color="1f4e79" w:space="4" w:sz="18" w:val="single"/>
          <w:bottom w:color="1f4e79" w:space="4" w:sz="18" w:val="single"/>
          <w:right w:color="1f4e79" w:space="5" w:sz="18" w:val="single"/>
        </w:pBdr>
        <w:shd w:fill="156082" w:val="clear"/>
        <w:spacing w:after="0" w:before="240" w:line="240" w:lineRule="auto"/>
        <w:jc w:val="both"/>
        <w:rPr>
          <w:rFonts w:ascii="Open Sans" w:cs="Open Sans" w:eastAsia="Open Sans" w:hAnsi="Open Sans"/>
          <w:b w:val="1"/>
          <w:bCs w:val="1"/>
          <w:color w:val="ffffff"/>
        </w:rPr>
      </w:pPr>
      <w:r w:rsidDel="00000000" w:rsidR="00000000" w:rsidRPr="00000000">
        <w:rPr>
          <w:rFonts w:ascii="Open Sans" w:cs="Open Sans" w:eastAsia="Open Sans" w:hAnsi="Open Sans"/>
          <w:b w:val="1"/>
          <w:bCs w:val="1"/>
          <w:color w:val="ffffff"/>
          <w:rtl w:val="0"/>
        </w:rPr>
        <w:t xml:space="preserve">Why did you get this notice?</w:t>
      </w:r>
    </w:p>
    <w:p w:rsidR="00000000" w:rsidDel="00000000" w:rsidP="00000000" w:rsidRDefault="00000000" w:rsidRPr="00000000" w14:paraId="00000004">
      <w:pPr>
        <w:widowControl w:val="0"/>
        <w:pBdr>
          <w:left w:color="1f4e79" w:space="4" w:sz="18" w:val="single"/>
        </w:pBdr>
        <w:spacing w:after="0" w:line="240" w:lineRule="auto"/>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This notice is to tell you about the certification of a class action lawsuit, </w:t>
      </w:r>
      <w:r w:rsidDel="00000000" w:rsidR="00000000" w:rsidRPr="00000000">
        <w:rPr>
          <w:rFonts w:ascii="Open Sans" w:cs="Open Sans" w:eastAsia="Open Sans" w:hAnsi="Open Sans"/>
          <w:i w:val="1"/>
          <w:iCs w:val="1"/>
          <w:sz w:val="20"/>
          <w:szCs w:val="20"/>
          <w:rtl w:val="0"/>
        </w:rPr>
        <w:t xml:space="preserve">LaDella Williams, et. al. v. City of Albuquerque</w:t>
      </w:r>
      <w:r w:rsidDel="00000000" w:rsidR="00000000" w:rsidRPr="00000000">
        <w:rPr>
          <w:rFonts w:ascii="Open Sans" w:cs="Open Sans" w:eastAsia="Open Sans" w:hAnsi="Open Sans"/>
          <w:sz w:val="20"/>
          <w:szCs w:val="20"/>
          <w:rtl w:val="0"/>
        </w:rPr>
        <w:t xml:space="preserve"> brought on behalf of all persons living at Coronado Park at any time between August 3, 2022, and August 17, 2022, whose property was allegedly unlawfully seized by the City of Albuquerque and not returned. You received this notice because </w:t>
      </w:r>
      <w:r w:rsidDel="00000000" w:rsidR="00000000" w:rsidRPr="00000000">
        <w:rPr>
          <w:rFonts w:ascii="Open Sans" w:cs="Open Sans" w:eastAsia="Open Sans" w:hAnsi="Open Sans"/>
          <w:b w:val="1"/>
          <w:bCs w:val="1"/>
          <w:sz w:val="20"/>
          <w:szCs w:val="20"/>
          <w:u w:val="single"/>
          <w:rtl w:val="0"/>
        </w:rPr>
        <w:t xml:space="preserve">you may be one of the people allegedly affected</w:t>
      </w:r>
      <w:r w:rsidDel="00000000" w:rsidR="00000000" w:rsidRPr="00000000">
        <w:rPr>
          <w:rFonts w:ascii="Open Sans" w:cs="Open Sans" w:eastAsia="Open Sans" w:hAnsi="Open Sans"/>
          <w:sz w:val="20"/>
          <w:szCs w:val="20"/>
          <w:rtl w:val="0"/>
        </w:rPr>
        <w:t xml:space="preserve">, called the “class.” If the class can prove that the City acted illegally by taking and not returning belongings, </w:t>
      </w:r>
      <w:r w:rsidDel="00000000" w:rsidR="00000000" w:rsidRPr="00000000">
        <w:rPr>
          <w:rFonts w:ascii="Open Sans" w:cs="Open Sans" w:eastAsia="Open Sans" w:hAnsi="Open Sans"/>
          <w:b w:val="1"/>
          <w:bCs w:val="1"/>
          <w:sz w:val="20"/>
          <w:szCs w:val="20"/>
          <w:u w:val="single"/>
          <w:rtl w:val="0"/>
        </w:rPr>
        <w:t xml:space="preserve">another notice will be posted explaining how class members can file a claim to seek money for their losses.</w:t>
      </w:r>
      <w:r w:rsidDel="00000000" w:rsidR="00000000" w:rsidRPr="00000000">
        <w:rPr>
          <w:rFonts w:ascii="Open Sans" w:cs="Open Sans" w:eastAsia="Open Sans" w:hAnsi="Open Sans"/>
          <w:sz w:val="20"/>
          <w:szCs w:val="20"/>
          <w:rtl w:val="0"/>
        </w:rPr>
        <w:t xml:space="preserve"> This notice tells you how to get more information about the case. The City of Albuquerque denies that it allegedly unlawfully seized or destroyed the personal property of individuals living at Coronado Park between August 3, 2022, and August 17, 2022.</w:t>
      </w:r>
    </w:p>
    <w:p w:rsidR="00000000" w:rsidDel="00000000" w:rsidP="00000000" w:rsidRDefault="00000000" w:rsidRPr="00000000" w14:paraId="00000005">
      <w:pPr>
        <w:widowControl w:val="0"/>
        <w:spacing w:after="0" w:line="240" w:lineRule="auto"/>
        <w:rPr>
          <w:rFonts w:ascii="Open Sans" w:cs="Open Sans" w:eastAsia="Open Sans" w:hAnsi="Open Sans"/>
          <w:sz w:val="12"/>
          <w:szCs w:val="12"/>
        </w:rPr>
      </w:pPr>
      <w:r w:rsidDel="00000000" w:rsidR="00000000" w:rsidRPr="00000000">
        <w:rPr>
          <w:rtl w:val="0"/>
        </w:rPr>
      </w:r>
    </w:p>
    <w:tbl>
      <w:tblPr>
        <w:tblStyle w:val="Table1"/>
        <w:tblW w:w="1053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30"/>
        <w:gridCol w:w="9000"/>
        <w:tblGridChange w:id="0">
          <w:tblGrid>
            <w:gridCol w:w="1530"/>
            <w:gridCol w:w="9000"/>
          </w:tblGrid>
        </w:tblGridChange>
      </w:tblGrid>
      <w:tr>
        <w:trPr>
          <w:cantSplit w:val="0"/>
          <w:trHeight w:val="432" w:hRule="atLeast"/>
          <w:tblHeader w:val="0"/>
        </w:trPr>
        <w:tc>
          <w:tcPr>
            <w:tcBorders>
              <w:top w:color="000000" w:space="0" w:sz="0" w:val="nil"/>
            </w:tcBorders>
            <w:shd w:fill="156082" w:val="clear"/>
            <w:vAlign w:val="center"/>
          </w:tcPr>
          <w:p w:rsidR="00000000" w:rsidDel="00000000" w:rsidP="00000000" w:rsidRDefault="00000000" w:rsidRPr="00000000" w14:paraId="00000006">
            <w:pPr>
              <w:rPr>
                <w:rFonts w:ascii="Open Sans" w:cs="Open Sans" w:eastAsia="Open Sans" w:hAnsi="Open Sans"/>
                <w:b w:val="1"/>
                <w:bCs w:val="1"/>
                <w:color w:val="ffffff"/>
              </w:rPr>
            </w:pPr>
            <w:r w:rsidDel="00000000" w:rsidR="00000000" w:rsidRPr="00000000">
              <w:rPr>
                <w:rFonts w:ascii="Open Sans" w:cs="Open Sans" w:eastAsia="Open Sans" w:hAnsi="Open Sans"/>
                <w:b w:val="1"/>
                <w:bCs w:val="1"/>
                <w:color w:val="ffffff"/>
                <w:rtl w:val="0"/>
              </w:rPr>
              <w:t xml:space="preserve">Your options:</w:t>
            </w:r>
          </w:p>
        </w:tc>
        <w:tc>
          <w:tcPr>
            <w:tcBorders>
              <w:top w:color="000000" w:space="0" w:sz="0" w:val="nil"/>
            </w:tcBorders>
            <w:shd w:fill="156082" w:val="clear"/>
            <w:vAlign w:val="center"/>
          </w:tcPr>
          <w:p w:rsidR="00000000" w:rsidDel="00000000" w:rsidP="00000000" w:rsidRDefault="00000000" w:rsidRPr="00000000" w14:paraId="00000007">
            <w:pPr>
              <w:rPr>
                <w:rFonts w:ascii="Open Sans" w:cs="Open Sans" w:eastAsia="Open Sans" w:hAnsi="Open Sans"/>
                <w:b w:val="1"/>
                <w:bCs w:val="1"/>
                <w:color w:val="ffffff"/>
              </w:rPr>
            </w:pPr>
            <w:r w:rsidDel="00000000" w:rsidR="00000000" w:rsidRPr="00000000">
              <w:rPr>
                <w:rFonts w:ascii="Open Sans" w:cs="Open Sans" w:eastAsia="Open Sans" w:hAnsi="Open Sans"/>
                <w:b w:val="1"/>
                <w:bCs w:val="1"/>
                <w:color w:val="ffffff"/>
                <w:rtl w:val="0"/>
              </w:rPr>
              <w:t xml:space="preserve">More about each option:</w:t>
            </w:r>
          </w:p>
        </w:tc>
      </w:tr>
      <w:tr>
        <w:trPr>
          <w:cantSplit w:val="0"/>
          <w:trHeight w:val="432" w:hRule="atLeast"/>
          <w:tblHeader w:val="0"/>
        </w:trPr>
        <w:tc>
          <w:tcPr>
            <w:tcBorders>
              <w:top w:color="000000" w:space="0" w:sz="4" w:val="single"/>
              <w:left w:color="000000" w:space="0" w:sz="4" w:val="single"/>
              <w:bottom w:color="000000" w:space="0" w:sz="4" w:val="single"/>
              <w:right w:color="000000" w:space="0" w:sz="4" w:val="single"/>
            </w:tcBorders>
            <w:shd w:fill="deeaf6" w:val="clear"/>
            <w:vAlign w:val="center"/>
          </w:tcPr>
          <w:p w:rsidR="00000000" w:rsidDel="00000000" w:rsidP="00000000" w:rsidRDefault="00000000" w:rsidRPr="00000000" w14:paraId="00000008">
            <w:pPr>
              <w:rPr>
                <w:rFonts w:ascii="Open Sans" w:cs="Open Sans" w:eastAsia="Open Sans" w:hAnsi="Open Sans"/>
                <w:b w:val="1"/>
                <w:bCs w:val="1"/>
                <w:color w:val="000000"/>
                <w:sz w:val="20"/>
                <w:szCs w:val="20"/>
              </w:rPr>
            </w:pPr>
            <w:r w:rsidDel="00000000" w:rsidR="00000000" w:rsidRPr="00000000">
              <w:rPr>
                <w:rFonts w:ascii="Open Sans" w:cs="Open Sans" w:eastAsia="Open Sans" w:hAnsi="Open Sans"/>
                <w:b w:val="1"/>
                <w:bCs w:val="1"/>
                <w:color w:val="000000"/>
                <w:sz w:val="20"/>
                <w:szCs w:val="20"/>
                <w:rtl w:val="0"/>
              </w:rPr>
              <w:t xml:space="preserve">Opt Out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9">
            <w:pPr>
              <w:rPr>
                <w:rFonts w:ascii="Open Sans" w:cs="Open Sans" w:eastAsia="Open Sans" w:hAnsi="Open Sans"/>
                <w:sz w:val="20"/>
                <w:szCs w:val="20"/>
              </w:rPr>
            </w:pPr>
            <w:r w:rsidDel="00000000" w:rsidR="00000000" w:rsidRPr="00000000">
              <w:rPr>
                <w:rFonts w:ascii="Open Sans" w:cs="Open Sans" w:eastAsia="Open Sans" w:hAnsi="Open Sans"/>
                <w:color w:val="000000"/>
                <w:sz w:val="20"/>
                <w:szCs w:val="20"/>
                <w:rtl w:val="0"/>
              </w:rPr>
              <w:t xml:space="preserve">To opt out, complete the Opt-Out Form online at </w:t>
            </w:r>
            <w:r w:rsidDel="00000000" w:rsidR="00000000" w:rsidRPr="00000000">
              <w:rPr>
                <w:rFonts w:ascii="Open Sans" w:cs="Open Sans" w:eastAsia="Open Sans" w:hAnsi="Open Sans"/>
                <w:sz w:val="20"/>
                <w:szCs w:val="20"/>
                <w:rtl w:val="0"/>
              </w:rPr>
              <w:t xml:space="preserve">www.nmpovertylaw.org/nmclp_resources/williams-class-action-opt-out-form</w:t>
            </w:r>
            <w:r w:rsidDel="00000000" w:rsidR="00000000" w:rsidRPr="00000000">
              <w:rPr>
                <w:rFonts w:ascii="Open Sans" w:cs="Open Sans" w:eastAsia="Open Sans" w:hAnsi="Open Sans"/>
                <w:color w:val="000000"/>
                <w:sz w:val="20"/>
                <w:szCs w:val="20"/>
                <w:rtl w:val="0"/>
              </w:rPr>
              <w:t xml:space="preserve"> or download, print, and mail the completed form to Plaintiffs’ counsel. You do not need to do both. You must opt out by November 11, 2026. If you opt out, you keep the right to sue the City of Albuquerque about the same issues on your own, including hiring your own attorney if you wish.</w:t>
            </w:r>
            <w:r w:rsidDel="00000000" w:rsidR="00000000" w:rsidRPr="00000000">
              <w:rPr>
                <w:rtl w:val="0"/>
              </w:rPr>
            </w:r>
          </w:p>
        </w:tc>
      </w:tr>
      <w:tr>
        <w:trPr>
          <w:cantSplit w:val="0"/>
          <w:trHeight w:val="432" w:hRule="atLeast"/>
          <w:tblHeader w:val="0"/>
        </w:trPr>
        <w:tc>
          <w:tcPr>
            <w:tcBorders>
              <w:top w:color="000000" w:space="0" w:sz="4" w:val="single"/>
              <w:left w:color="000000" w:space="0" w:sz="4" w:val="single"/>
              <w:bottom w:color="000000" w:space="0" w:sz="4" w:val="single"/>
              <w:right w:color="000000" w:space="0" w:sz="4" w:val="single"/>
            </w:tcBorders>
            <w:shd w:fill="deeaf6" w:val="clear"/>
            <w:vAlign w:val="center"/>
          </w:tcPr>
          <w:p w:rsidR="00000000" w:rsidDel="00000000" w:rsidP="00000000" w:rsidRDefault="00000000" w:rsidRPr="00000000" w14:paraId="0000000A">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color w:val="000000"/>
                <w:sz w:val="20"/>
                <w:szCs w:val="20"/>
                <w:rtl w:val="0"/>
              </w:rPr>
              <w:t xml:space="preserve">Do Nothing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B">
            <w:pPr>
              <w:rPr>
                <w:rFonts w:ascii="Open Sans" w:cs="Open Sans" w:eastAsia="Open Sans" w:hAnsi="Open Sans"/>
                <w:sz w:val="20"/>
                <w:szCs w:val="20"/>
              </w:rPr>
            </w:pPr>
            <w:r w:rsidDel="00000000" w:rsidR="00000000" w:rsidRPr="00000000">
              <w:rPr>
                <w:rFonts w:ascii="Open Sans" w:cs="Open Sans" w:eastAsia="Open Sans" w:hAnsi="Open Sans"/>
                <w:color w:val="000000"/>
                <w:sz w:val="20"/>
                <w:szCs w:val="20"/>
                <w:rtl w:val="0"/>
              </w:rPr>
              <w:t xml:space="preserve">If you take no action, any ruling from the court will apply to you, and you will not be able to sue the City of Albuquerque on your own about the same issues.</w:t>
            </w:r>
            <w:r w:rsidDel="00000000" w:rsidR="00000000" w:rsidRPr="00000000">
              <w:rPr>
                <w:rtl w:val="0"/>
              </w:rPr>
            </w:r>
          </w:p>
        </w:tc>
      </w:tr>
    </w:tbl>
    <w:p w:rsidR="00000000" w:rsidDel="00000000" w:rsidP="00000000" w:rsidRDefault="00000000" w:rsidRPr="00000000" w14:paraId="0000000C">
      <w:pPr>
        <w:widowControl w:val="0"/>
        <w:spacing w:after="0" w:line="240" w:lineRule="auto"/>
        <w:rPr>
          <w:rFonts w:ascii="Open Sans" w:cs="Open Sans" w:eastAsia="Open Sans" w:hAnsi="Open Sans"/>
          <w:sz w:val="12"/>
          <w:szCs w:val="12"/>
        </w:rPr>
      </w:pPr>
      <w:r w:rsidDel="00000000" w:rsidR="00000000" w:rsidRPr="00000000">
        <w:rPr>
          <w:rtl w:val="0"/>
        </w:rPr>
      </w:r>
    </w:p>
    <w:p w:rsidR="00000000" w:rsidDel="00000000" w:rsidP="00000000" w:rsidRDefault="00000000" w:rsidRPr="00000000" w14:paraId="0000000D">
      <w:pPr>
        <w:widowControl w:val="0"/>
        <w:spacing w:after="0" w:line="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You can learn more by calling The New Mexico Center on Law and Poverty at (505) 302-3853. Let them know you are calling about the </w:t>
      </w:r>
      <w:r w:rsidDel="00000000" w:rsidR="00000000" w:rsidRPr="00000000">
        <w:rPr>
          <w:rFonts w:ascii="Open Sans" w:cs="Open Sans" w:eastAsia="Open Sans" w:hAnsi="Open Sans"/>
          <w:b w:val="1"/>
          <w:bCs w:val="1"/>
          <w:i w:val="1"/>
          <w:iCs w:val="1"/>
          <w:sz w:val="20"/>
          <w:szCs w:val="20"/>
          <w:rtl w:val="0"/>
        </w:rPr>
        <w:t xml:space="preserve">Williams</w:t>
      </w:r>
      <w:r w:rsidDel="00000000" w:rsidR="00000000" w:rsidRPr="00000000">
        <w:rPr>
          <w:rFonts w:ascii="Open Sans" w:cs="Open Sans" w:eastAsia="Open Sans" w:hAnsi="Open Sans"/>
          <w:b w:val="1"/>
          <w:bCs w:val="1"/>
          <w:sz w:val="20"/>
          <w:szCs w:val="20"/>
          <w:rtl w:val="0"/>
        </w:rPr>
        <w:t xml:space="preserve"> case. </w:t>
      </w:r>
    </w:p>
    <w:p w:rsidR="00000000" w:rsidDel="00000000" w:rsidP="00000000" w:rsidRDefault="00000000" w:rsidRPr="00000000" w14:paraId="0000000E">
      <w:pPr>
        <w:widowControl w:val="0"/>
        <w:spacing w:after="0" w:line="240" w:lineRule="auto"/>
        <w:rPr>
          <w:rFonts w:ascii="Open Sans" w:cs="Open Sans" w:eastAsia="Open Sans" w:hAnsi="Open Sans"/>
          <w:sz w:val="4"/>
          <w:szCs w:val="4"/>
        </w:rPr>
      </w:pPr>
      <w:r w:rsidDel="00000000" w:rsidR="00000000" w:rsidRPr="00000000">
        <w:rPr>
          <w:rtl w:val="0"/>
        </w:rPr>
      </w:r>
    </w:p>
    <w:p w:rsidR="00000000" w:rsidDel="00000000" w:rsidP="00000000" w:rsidRDefault="00000000" w:rsidRPr="00000000" w14:paraId="0000000F">
      <w:pPr>
        <w:widowControl w:val="0"/>
        <w:pBdr>
          <w:top w:color="1f4e79" w:space="4" w:sz="18" w:val="single"/>
          <w:left w:color="1f4e79" w:space="4" w:sz="18" w:val="single"/>
          <w:bottom w:color="1f4e79" w:space="4" w:sz="18" w:val="single"/>
          <w:right w:color="1f4e79" w:space="4" w:sz="18" w:val="single"/>
        </w:pBdr>
        <w:shd w:fill="156082" w:val="clear"/>
        <w:spacing w:after="0" w:before="240" w:line="240" w:lineRule="auto"/>
        <w:rPr>
          <w:rFonts w:ascii="Open Sans" w:cs="Open Sans" w:eastAsia="Open Sans" w:hAnsi="Open Sans"/>
          <w:b w:val="1"/>
          <w:bCs w:val="1"/>
          <w:color w:val="ffffff"/>
        </w:rPr>
      </w:pPr>
      <w:r w:rsidDel="00000000" w:rsidR="00000000" w:rsidRPr="00000000">
        <w:rPr>
          <w:rFonts w:ascii="Open Sans" w:cs="Open Sans" w:eastAsia="Open Sans" w:hAnsi="Open Sans"/>
          <w:b w:val="1"/>
          <w:bCs w:val="1"/>
          <w:color w:val="ffffff"/>
          <w:rtl w:val="0"/>
        </w:rPr>
        <w:t xml:space="preserve">What is a class certification?</w:t>
      </w:r>
    </w:p>
    <w:p w:rsidR="00000000" w:rsidDel="00000000" w:rsidP="00000000" w:rsidRDefault="00000000" w:rsidRPr="00000000" w14:paraId="00000010">
      <w:pPr>
        <w:widowControl w:val="0"/>
        <w:pBdr>
          <w:left w:color="1f4e79" w:space="4" w:sz="18" w:val="single"/>
        </w:pBdr>
        <w:tabs>
          <w:tab w:val="left" w:leader="none" w:pos="0"/>
        </w:tabs>
        <w:spacing w:after="0" w:line="240" w:lineRule="auto"/>
        <w:rPr>
          <w:rFonts w:ascii="Open Sans" w:cs="Open Sans" w:eastAsia="Open Sans" w:hAnsi="Open Sans"/>
          <w:sz w:val="20"/>
          <w:szCs w:val="20"/>
        </w:rPr>
      </w:pPr>
      <w:r w:rsidDel="00000000" w:rsidR="00000000" w:rsidRPr="00000000">
        <w:rPr>
          <w:rFonts w:ascii="Open Sans" w:cs="Open Sans" w:eastAsia="Open Sans" w:hAnsi="Open Sans"/>
          <w:color w:val="000000"/>
          <w:sz w:val="20"/>
          <w:szCs w:val="20"/>
          <w:rtl w:val="0"/>
        </w:rPr>
        <w:t xml:space="preserve">The court has decided that this case can go forward on behalf of everyone potentially affected in the same way. In this case, the court has defined the class as: all persons living at Coronado Park at any time between August 3, 2022, and August 17, 2022, whose property was seized by the City of Albuquerque and not returned. The following people are “class representatives” who are responsible for representing your interests in this lawsuit: LaDella Williams, Scott Yelton, Sonja Garcia, Alonso Magallanes, and Rickey Mauk. </w:t>
      </w:r>
      <w:r w:rsidDel="00000000" w:rsidR="00000000" w:rsidRPr="00000000">
        <w:rPr>
          <w:rtl w:val="0"/>
        </w:rPr>
      </w:r>
    </w:p>
    <w:p w:rsidR="00000000" w:rsidDel="00000000" w:rsidP="00000000" w:rsidRDefault="00000000" w:rsidRPr="00000000" w14:paraId="00000011">
      <w:pPr>
        <w:spacing w:after="0" w:line="240" w:lineRule="auto"/>
        <w:rPr>
          <w:rFonts w:ascii="Open Sans" w:cs="Open Sans" w:eastAsia="Open Sans" w:hAnsi="Open Sans"/>
          <w:b w:val="1"/>
          <w:bCs w:val="1"/>
          <w:sz w:val="16"/>
          <w:szCs w:val="16"/>
        </w:rPr>
      </w:pPr>
      <w:r w:rsidDel="00000000" w:rsidR="00000000" w:rsidRPr="00000000">
        <w:rPr>
          <w:rtl w:val="0"/>
        </w:rPr>
      </w:r>
    </w:p>
    <w:p w:rsidR="00000000" w:rsidDel="00000000" w:rsidP="00000000" w:rsidRDefault="00000000" w:rsidRPr="00000000" w14:paraId="00000012">
      <w:pPr>
        <w:spacing w:after="0" w:line="240" w:lineRule="auto"/>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Key things to know:</w:t>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spacing w:after="0" w:line="240" w:lineRule="auto"/>
        <w:ind w:left="720" w:hanging="360"/>
        <w:rPr>
          <w:color w:val="000000"/>
          <w:sz w:val="20"/>
          <w:szCs w:val="20"/>
        </w:rPr>
      </w:pPr>
      <w:r w:rsidDel="00000000" w:rsidR="00000000" w:rsidRPr="00000000">
        <w:rPr>
          <w:rFonts w:ascii="Open Sans" w:cs="Open Sans" w:eastAsia="Open Sans" w:hAnsi="Open Sans"/>
          <w:color w:val="000000"/>
          <w:sz w:val="20"/>
          <w:szCs w:val="20"/>
          <w:rtl w:val="0"/>
        </w:rPr>
        <w:t xml:space="preserve">This is an important legal document. </w:t>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spacing w:after="0" w:line="240" w:lineRule="auto"/>
        <w:ind w:left="720" w:hanging="360"/>
        <w:rPr>
          <w:sz w:val="20"/>
          <w:szCs w:val="20"/>
        </w:rPr>
      </w:pPr>
      <w:r w:rsidDel="00000000" w:rsidR="00000000" w:rsidRPr="00000000">
        <w:rPr>
          <w:rFonts w:ascii="Open Sans" w:cs="Open Sans" w:eastAsia="Open Sans" w:hAnsi="Open Sans"/>
          <w:sz w:val="20"/>
          <w:szCs w:val="20"/>
          <w:rtl w:val="0"/>
        </w:rPr>
        <w:t xml:space="preserve">The Court has not decided that the City of Albuquerque has done anything wrong. </w:t>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spacing w:after="0" w:line="240" w:lineRule="auto"/>
        <w:ind w:left="720" w:hanging="360"/>
        <w:rPr>
          <w:sz w:val="20"/>
          <w:szCs w:val="20"/>
        </w:rPr>
      </w:pPr>
      <w:r w:rsidDel="00000000" w:rsidR="00000000" w:rsidRPr="00000000">
        <w:rPr>
          <w:rFonts w:ascii="Open Sans" w:cs="Open Sans" w:eastAsia="Open Sans" w:hAnsi="Open Sans"/>
          <w:sz w:val="20"/>
          <w:szCs w:val="20"/>
          <w:rtl w:val="0"/>
        </w:rPr>
        <w:t xml:space="preserve">There is no guarantee that anyone will recover any money. </w:t>
      </w:r>
    </w:p>
    <w:p w:rsidR="00000000" w:rsidDel="00000000" w:rsidP="00000000" w:rsidRDefault="00000000" w:rsidRPr="00000000" w14:paraId="00000016">
      <w:pPr>
        <w:numPr>
          <w:ilvl w:val="0"/>
          <w:numId w:val="1"/>
        </w:numPr>
        <w:pBdr>
          <w:top w:space="0" w:sz="0" w:val="nil"/>
          <w:left w:space="0" w:sz="0" w:val="nil"/>
          <w:bottom w:space="0" w:sz="0" w:val="nil"/>
          <w:right w:space="0" w:sz="0" w:val="nil"/>
          <w:between w:space="0" w:sz="0" w:val="nil"/>
        </w:pBdr>
        <w:spacing w:after="0" w:line="240" w:lineRule="auto"/>
        <w:ind w:left="720" w:hanging="360"/>
        <w:rPr>
          <w:color w:val="000000"/>
          <w:sz w:val="20"/>
          <w:szCs w:val="20"/>
        </w:rPr>
      </w:pPr>
      <w:r w:rsidDel="00000000" w:rsidR="00000000" w:rsidRPr="00000000">
        <w:rPr>
          <w:rFonts w:ascii="Open Sans" w:cs="Open Sans" w:eastAsia="Open Sans" w:hAnsi="Open Sans"/>
          <w:color w:val="000000"/>
          <w:sz w:val="20"/>
          <w:szCs w:val="20"/>
          <w:rtl w:val="0"/>
        </w:rPr>
        <w:t xml:space="preserve">If you take no action, any ruling from the court will apply to you, and you will not be able to sue the City of Albuquerque on your own about the same issues.</w:t>
      </w:r>
    </w:p>
    <w:p w:rsidR="00000000" w:rsidDel="00000000" w:rsidP="00000000" w:rsidRDefault="00000000" w:rsidRPr="00000000" w14:paraId="00000017">
      <w:pPr>
        <w:numPr>
          <w:ilvl w:val="0"/>
          <w:numId w:val="1"/>
        </w:numPr>
        <w:pBdr>
          <w:top w:space="0" w:sz="0" w:val="nil"/>
          <w:left w:space="0" w:sz="0" w:val="nil"/>
          <w:bottom w:space="0" w:sz="0" w:val="nil"/>
          <w:right w:space="0" w:sz="0" w:val="nil"/>
          <w:between w:space="0" w:sz="0" w:val="nil"/>
        </w:pBdr>
        <w:spacing w:after="0" w:line="240" w:lineRule="auto"/>
        <w:ind w:left="720" w:hanging="360"/>
        <w:rPr>
          <w:color w:val="000000"/>
          <w:sz w:val="20"/>
          <w:szCs w:val="20"/>
        </w:rPr>
      </w:pPr>
      <w:r w:rsidDel="00000000" w:rsidR="00000000" w:rsidRPr="00000000">
        <w:rPr>
          <w:rFonts w:ascii="Open Sans" w:cs="Open Sans" w:eastAsia="Open Sans" w:hAnsi="Open Sans"/>
          <w:color w:val="000000"/>
          <w:sz w:val="20"/>
          <w:szCs w:val="20"/>
          <w:rtl w:val="0"/>
        </w:rPr>
        <w:t xml:space="preserve">If you have questions or need assistance, please call (505) 302-3853.</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240" w:lineRule="auto"/>
        <w:ind w:left="720" w:firstLine="0"/>
        <w:rPr>
          <w:rFonts w:ascii="Open Sans" w:cs="Open Sans" w:eastAsia="Open Sans" w:hAnsi="Open Sans"/>
          <w:color w:val="000000"/>
          <w:sz w:val="20"/>
          <w:szCs w:val="20"/>
        </w:rPr>
      </w:pPr>
      <w:r w:rsidDel="00000000" w:rsidR="00000000" w:rsidRPr="00000000">
        <w:rPr>
          <w:rtl w:val="0"/>
        </w:rPr>
      </w:r>
    </w:p>
    <w:tbl>
      <w:tblPr>
        <w:tblStyle w:val="Table2"/>
        <w:tblW w:w="10395.0" w:type="dxa"/>
        <w:jc w:val="left"/>
        <w:tblInd w:w="-1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65"/>
        <w:gridCol w:w="2130"/>
        <w:gridCol w:w="3900"/>
        <w:tblGridChange w:id="0">
          <w:tblGrid>
            <w:gridCol w:w="4365"/>
            <w:gridCol w:w="2130"/>
            <w:gridCol w:w="3900"/>
          </w:tblGrid>
        </w:tblGridChange>
      </w:tblGrid>
      <w:tr>
        <w:trPr>
          <w:cantSplit w:val="0"/>
          <w:trHeight w:val="260" w:hRule="atLeast"/>
          <w:tblHeader w:val="0"/>
        </w:trPr>
        <w:tc>
          <w:tcPr>
            <w:shd w:fill="156082" w:val="clear"/>
          </w:tcPr>
          <w:p w:rsidR="00000000" w:rsidDel="00000000" w:rsidP="00000000" w:rsidRDefault="00000000" w:rsidRPr="00000000" w14:paraId="00000019">
            <w:pPr>
              <w:widowControl w:val="0"/>
              <w:shd w:fill="156082" w:val="clear"/>
              <w:spacing w:before="240" w:lineRule="auto"/>
              <w:jc w:val="center"/>
              <w:rPr>
                <w:rFonts w:ascii="Open Sans" w:cs="Open Sans" w:eastAsia="Open Sans" w:hAnsi="Open Sans"/>
                <w:b w:val="1"/>
                <w:bCs w:val="1"/>
                <w:color w:val="ffffff"/>
              </w:rPr>
            </w:pPr>
            <w:r w:rsidDel="00000000" w:rsidR="00000000" w:rsidRPr="00000000">
              <w:rPr>
                <w:rFonts w:ascii="Open Sans" w:cs="Open Sans" w:eastAsia="Open Sans" w:hAnsi="Open Sans"/>
                <w:b w:val="1"/>
                <w:bCs w:val="1"/>
                <w:color w:val="ffffff"/>
                <w:rtl w:val="0"/>
              </w:rPr>
              <w:t xml:space="preserve">Lawyers for Plaintiff class</w:t>
            </w:r>
          </w:p>
        </w:tc>
        <w:tc>
          <w:tcPr>
            <w:shd w:fill="156082" w:val="clear"/>
          </w:tcPr>
          <w:p w:rsidR="00000000" w:rsidDel="00000000" w:rsidP="00000000" w:rsidRDefault="00000000" w:rsidRPr="00000000" w14:paraId="0000001A">
            <w:pPr>
              <w:widowControl w:val="0"/>
              <w:shd w:fill="156082" w:val="clear"/>
              <w:spacing w:before="240" w:lineRule="auto"/>
              <w:rPr>
                <w:rFonts w:ascii="Open Sans" w:cs="Open Sans" w:eastAsia="Open Sans" w:hAnsi="Open Sans"/>
                <w:b w:val="1"/>
                <w:bCs w:val="1"/>
                <w:color w:val="ffffff"/>
              </w:rPr>
            </w:pPr>
            <w:r w:rsidDel="00000000" w:rsidR="00000000" w:rsidRPr="00000000">
              <w:rPr>
                <w:rFonts w:ascii="Open Sans" w:cs="Open Sans" w:eastAsia="Open Sans" w:hAnsi="Open Sans"/>
                <w:b w:val="1"/>
                <w:bCs w:val="1"/>
                <w:color w:val="ffffff"/>
                <w:rtl w:val="0"/>
              </w:rPr>
              <w:t xml:space="preserve">Phone Number</w:t>
            </w:r>
          </w:p>
        </w:tc>
        <w:tc>
          <w:tcPr>
            <w:shd w:fill="156082" w:val="clear"/>
          </w:tcPr>
          <w:p w:rsidR="00000000" w:rsidDel="00000000" w:rsidP="00000000" w:rsidRDefault="00000000" w:rsidRPr="00000000" w14:paraId="0000001B">
            <w:pPr>
              <w:widowControl w:val="0"/>
              <w:shd w:fill="156082" w:val="clear"/>
              <w:spacing w:before="240" w:lineRule="auto"/>
              <w:jc w:val="center"/>
              <w:rPr>
                <w:rFonts w:ascii="Open Sans" w:cs="Open Sans" w:eastAsia="Open Sans" w:hAnsi="Open Sans"/>
                <w:b w:val="1"/>
                <w:bCs w:val="1"/>
                <w:color w:val="ffffff"/>
              </w:rPr>
            </w:pPr>
            <w:r w:rsidDel="00000000" w:rsidR="00000000" w:rsidRPr="00000000">
              <w:rPr>
                <w:rFonts w:ascii="Open Sans" w:cs="Open Sans" w:eastAsia="Open Sans" w:hAnsi="Open Sans"/>
                <w:b w:val="1"/>
                <w:bCs w:val="1"/>
                <w:color w:val="ffffff"/>
                <w:rtl w:val="0"/>
              </w:rPr>
              <w:t xml:space="preserve">Website</w:t>
            </w:r>
          </w:p>
        </w:tc>
      </w:tr>
      <w:tr>
        <w:trPr>
          <w:cantSplit w:val="0"/>
          <w:tblHeader w:val="0"/>
        </w:trPr>
        <w:tc>
          <w:tcPr/>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ind w:left="720" w:hanging="360"/>
              <w:rPr>
                <w:rFonts w:ascii="Open Sans" w:cs="Open Sans" w:eastAsia="Open Sans" w:hAnsi="Open Sans"/>
                <w:color w:val="000000"/>
                <w:sz w:val="20"/>
                <w:szCs w:val="20"/>
              </w:rPr>
            </w:pPr>
            <w:r w:rsidDel="00000000" w:rsidR="00000000" w:rsidRPr="00000000">
              <w:rPr>
                <w:rFonts w:ascii="Open Sans" w:cs="Open Sans" w:eastAsia="Open Sans" w:hAnsi="Open Sans"/>
                <w:color w:val="000000"/>
                <w:sz w:val="20"/>
                <w:szCs w:val="20"/>
                <w:rtl w:val="0"/>
              </w:rPr>
              <w:t xml:space="preserve">Ives &amp; Flores</w:t>
            </w:r>
          </w:p>
        </w:tc>
        <w:tc>
          <w:tcPr/>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ind w:left="720" w:hanging="360"/>
              <w:rPr>
                <w:rFonts w:ascii="Open Sans" w:cs="Open Sans" w:eastAsia="Open Sans" w:hAnsi="Open Sans"/>
                <w:color w:val="000000"/>
                <w:sz w:val="20"/>
                <w:szCs w:val="20"/>
              </w:rPr>
            </w:pPr>
            <w:hyperlink r:id="rId8">
              <w:r w:rsidDel="00000000" w:rsidR="00000000" w:rsidRPr="00000000">
                <w:rPr>
                  <w:rFonts w:ascii="Open Sans" w:cs="Open Sans" w:eastAsia="Open Sans" w:hAnsi="Open Sans"/>
                  <w:color w:val="000000"/>
                  <w:sz w:val="20"/>
                  <w:szCs w:val="20"/>
                  <w:rtl w:val="0"/>
                </w:rPr>
                <w:t xml:space="preserve">(505) 295-7252</w:t>
              </w:r>
            </w:hyperlink>
            <w:r w:rsidDel="00000000" w:rsidR="00000000" w:rsidRPr="00000000">
              <w:rPr>
                <w:rtl w:val="0"/>
              </w:rPr>
            </w:r>
          </w:p>
        </w:tc>
        <w:tc>
          <w:tcPr/>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ind w:left="720" w:hanging="360"/>
              <w:rPr>
                <w:rFonts w:ascii="Open Sans" w:cs="Open Sans" w:eastAsia="Open Sans" w:hAnsi="Open Sans"/>
                <w:color w:val="000000"/>
                <w:sz w:val="20"/>
                <w:szCs w:val="20"/>
              </w:rPr>
            </w:pPr>
            <w:r w:rsidDel="00000000" w:rsidR="00000000" w:rsidRPr="00000000">
              <w:rPr>
                <w:rFonts w:ascii="Open Sans" w:cs="Open Sans" w:eastAsia="Open Sans" w:hAnsi="Open Sans"/>
                <w:color w:val="000000"/>
                <w:sz w:val="20"/>
                <w:szCs w:val="20"/>
                <w:rtl w:val="0"/>
              </w:rPr>
              <w:t xml:space="preserve">https://www.nmcivilrights.com/</w:t>
            </w:r>
          </w:p>
        </w:tc>
      </w:tr>
      <w:tr>
        <w:trPr>
          <w:cantSplit w:val="0"/>
          <w:tblHeader w:val="0"/>
        </w:trPr>
        <w:tc>
          <w:tcPr/>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ind w:left="720" w:hanging="360"/>
              <w:rPr>
                <w:rFonts w:ascii="Open Sans" w:cs="Open Sans" w:eastAsia="Open Sans" w:hAnsi="Open Sans"/>
                <w:color w:val="000000"/>
                <w:sz w:val="20"/>
                <w:szCs w:val="20"/>
              </w:rPr>
            </w:pPr>
            <w:r w:rsidDel="00000000" w:rsidR="00000000" w:rsidRPr="00000000">
              <w:rPr>
                <w:rFonts w:ascii="Open Sans" w:cs="Open Sans" w:eastAsia="Open Sans" w:hAnsi="Open Sans"/>
                <w:color w:val="000000"/>
                <w:sz w:val="20"/>
                <w:szCs w:val="20"/>
                <w:rtl w:val="0"/>
              </w:rPr>
              <w:t xml:space="preserve">ACLU of New Mexico</w:t>
            </w:r>
          </w:p>
        </w:tc>
        <w:tc>
          <w:tcPr/>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ind w:left="720" w:hanging="360"/>
              <w:rPr>
                <w:rFonts w:ascii="Open Sans" w:cs="Open Sans" w:eastAsia="Open Sans" w:hAnsi="Open Sans"/>
                <w:color w:val="000000"/>
                <w:sz w:val="20"/>
                <w:szCs w:val="20"/>
              </w:rPr>
            </w:pPr>
            <w:hyperlink r:id="rId9">
              <w:r w:rsidDel="00000000" w:rsidR="00000000" w:rsidRPr="00000000">
                <w:rPr>
                  <w:rFonts w:ascii="Open Sans" w:cs="Open Sans" w:eastAsia="Open Sans" w:hAnsi="Open Sans"/>
                  <w:color w:val="000000"/>
                  <w:sz w:val="20"/>
                  <w:szCs w:val="20"/>
                  <w:rtl w:val="0"/>
                </w:rPr>
                <w:t xml:space="preserve">(505) 266-5915</w:t>
              </w:r>
            </w:hyperlink>
            <w:r w:rsidDel="00000000" w:rsidR="00000000" w:rsidRPr="00000000">
              <w:rPr>
                <w:rtl w:val="0"/>
              </w:rPr>
            </w:r>
          </w:p>
        </w:tc>
        <w:tc>
          <w:tcPr/>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ind w:left="720" w:hanging="360"/>
              <w:rPr>
                <w:rFonts w:ascii="Open Sans" w:cs="Open Sans" w:eastAsia="Open Sans" w:hAnsi="Open Sans"/>
                <w:color w:val="000000"/>
                <w:sz w:val="20"/>
                <w:szCs w:val="20"/>
              </w:rPr>
            </w:pPr>
            <w:r w:rsidDel="00000000" w:rsidR="00000000" w:rsidRPr="00000000">
              <w:rPr>
                <w:rFonts w:ascii="Open Sans" w:cs="Open Sans" w:eastAsia="Open Sans" w:hAnsi="Open Sans"/>
                <w:color w:val="000000"/>
                <w:sz w:val="20"/>
                <w:szCs w:val="20"/>
                <w:rtl w:val="0"/>
              </w:rPr>
              <w:t xml:space="preserve">https://www.aclu-nm.org/</w:t>
            </w:r>
          </w:p>
        </w:tc>
      </w:tr>
      <w:tr>
        <w:trPr>
          <w:cantSplit w:val="0"/>
          <w:tblHeader w:val="0"/>
        </w:trPr>
        <w:tc>
          <w:tcPr/>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ind w:left="720" w:hanging="360"/>
              <w:rPr>
                <w:rFonts w:ascii="Open Sans" w:cs="Open Sans" w:eastAsia="Open Sans" w:hAnsi="Open Sans"/>
                <w:color w:val="000000"/>
                <w:sz w:val="20"/>
                <w:szCs w:val="20"/>
              </w:rPr>
            </w:pPr>
            <w:r w:rsidDel="00000000" w:rsidR="00000000" w:rsidRPr="00000000">
              <w:rPr>
                <w:rFonts w:ascii="Open Sans" w:cs="Open Sans" w:eastAsia="Open Sans" w:hAnsi="Open Sans"/>
                <w:color w:val="000000"/>
                <w:sz w:val="20"/>
                <w:szCs w:val="20"/>
                <w:rtl w:val="0"/>
              </w:rPr>
              <w:t xml:space="preserve">Davis Law New Mexico</w:t>
            </w:r>
          </w:p>
        </w:tc>
        <w:tc>
          <w:tcPr/>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ind w:left="720" w:hanging="360"/>
              <w:rPr>
                <w:rFonts w:ascii="Open Sans" w:cs="Open Sans" w:eastAsia="Open Sans" w:hAnsi="Open Sans"/>
                <w:color w:val="000000"/>
                <w:sz w:val="20"/>
                <w:szCs w:val="20"/>
              </w:rPr>
            </w:pPr>
            <w:r w:rsidDel="00000000" w:rsidR="00000000" w:rsidRPr="00000000">
              <w:rPr>
                <w:rFonts w:ascii="Open Sans" w:cs="Open Sans" w:eastAsia="Open Sans" w:hAnsi="Open Sans"/>
                <w:color w:val="000000"/>
                <w:sz w:val="20"/>
                <w:szCs w:val="20"/>
                <w:rtl w:val="0"/>
              </w:rPr>
              <w:t xml:space="preserve">(505) 242-1904</w:t>
            </w:r>
          </w:p>
        </w:tc>
        <w:tc>
          <w:tcPr/>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ind w:left="720" w:hanging="360"/>
              <w:rPr>
                <w:rFonts w:ascii="Open Sans" w:cs="Open Sans" w:eastAsia="Open Sans" w:hAnsi="Open Sans"/>
                <w:color w:val="000000"/>
                <w:sz w:val="20"/>
                <w:szCs w:val="20"/>
              </w:rPr>
            </w:pPr>
            <w:r w:rsidDel="00000000" w:rsidR="00000000" w:rsidRPr="00000000">
              <w:rPr>
                <w:rFonts w:ascii="Open Sans" w:cs="Open Sans" w:eastAsia="Open Sans" w:hAnsi="Open Sans"/>
                <w:color w:val="000000"/>
                <w:sz w:val="20"/>
                <w:szCs w:val="20"/>
                <w:rtl w:val="0"/>
              </w:rPr>
              <w:t xml:space="preserve">https://www.davislawnm.com/</w:t>
            </w:r>
          </w:p>
        </w:tc>
      </w:tr>
      <w:tr>
        <w:trPr>
          <w:cantSplit w:val="0"/>
          <w:tblHeader w:val="0"/>
        </w:trPr>
        <w:tc>
          <w:tcPr/>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ind w:left="720" w:hanging="360"/>
              <w:rPr>
                <w:rFonts w:ascii="Open Sans" w:cs="Open Sans" w:eastAsia="Open Sans" w:hAnsi="Open Sans"/>
                <w:color w:val="000000"/>
                <w:sz w:val="20"/>
                <w:szCs w:val="20"/>
              </w:rPr>
            </w:pPr>
            <w:r w:rsidDel="00000000" w:rsidR="00000000" w:rsidRPr="00000000">
              <w:rPr>
                <w:rFonts w:ascii="Open Sans" w:cs="Open Sans" w:eastAsia="Open Sans" w:hAnsi="Open Sans"/>
                <w:color w:val="000000"/>
                <w:sz w:val="20"/>
                <w:szCs w:val="20"/>
                <w:rtl w:val="0"/>
              </w:rPr>
              <w:t xml:space="preserve">New Mexico Center on Law and Poverty</w:t>
            </w:r>
          </w:p>
        </w:tc>
        <w:tc>
          <w:tcPr/>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ind w:left="720" w:hanging="360"/>
              <w:rPr>
                <w:rFonts w:ascii="Open Sans" w:cs="Open Sans" w:eastAsia="Open Sans" w:hAnsi="Open Sans"/>
                <w:color w:val="000000"/>
                <w:sz w:val="20"/>
                <w:szCs w:val="20"/>
              </w:rPr>
            </w:pPr>
            <w:r w:rsidDel="00000000" w:rsidR="00000000" w:rsidRPr="00000000">
              <w:rPr>
                <w:rFonts w:ascii="Open Sans" w:cs="Open Sans" w:eastAsia="Open Sans" w:hAnsi="Open Sans"/>
                <w:color w:val="000000"/>
                <w:sz w:val="20"/>
                <w:szCs w:val="20"/>
                <w:rtl w:val="0"/>
              </w:rPr>
              <w:t xml:space="preserve">(505) </w:t>
            </w:r>
            <w:r w:rsidDel="00000000" w:rsidR="00000000" w:rsidRPr="00000000">
              <w:rPr>
                <w:rFonts w:ascii="Open Sans" w:cs="Open Sans" w:eastAsia="Open Sans" w:hAnsi="Open Sans"/>
                <w:sz w:val="20"/>
                <w:szCs w:val="20"/>
                <w:rtl w:val="0"/>
              </w:rPr>
              <w:t xml:space="preserve">302-3853</w:t>
            </w:r>
            <w:r w:rsidDel="00000000" w:rsidR="00000000" w:rsidRPr="00000000">
              <w:rPr>
                <w:rtl w:val="0"/>
              </w:rPr>
            </w:r>
          </w:p>
        </w:tc>
        <w:tc>
          <w:tcPr/>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ind w:left="720" w:hanging="360"/>
              <w:rPr>
                <w:rFonts w:ascii="Open Sans" w:cs="Open Sans" w:eastAsia="Open Sans" w:hAnsi="Open Sans"/>
                <w:color w:val="000000"/>
                <w:sz w:val="20"/>
                <w:szCs w:val="20"/>
              </w:rPr>
            </w:pPr>
            <w:r w:rsidDel="00000000" w:rsidR="00000000" w:rsidRPr="00000000">
              <w:rPr>
                <w:rFonts w:ascii="Open Sans" w:cs="Open Sans" w:eastAsia="Open Sans" w:hAnsi="Open Sans"/>
                <w:color w:val="000000"/>
                <w:sz w:val="20"/>
                <w:szCs w:val="20"/>
                <w:rtl w:val="0"/>
              </w:rPr>
              <w:t xml:space="preserve">https://www.nmpovertylaw.org/</w:t>
            </w:r>
          </w:p>
        </w:tc>
      </w:tr>
      <w:tr>
        <w:trPr>
          <w:cantSplit w:val="0"/>
          <w:tblHeader w:val="0"/>
        </w:trPr>
        <w:tc>
          <w:tcPr/>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ind w:left="720" w:hanging="360"/>
              <w:rPr>
                <w:rFonts w:ascii="Open Sans" w:cs="Open Sans" w:eastAsia="Open Sans" w:hAnsi="Open Sans"/>
                <w:color w:val="000000"/>
                <w:sz w:val="20"/>
                <w:szCs w:val="20"/>
              </w:rPr>
            </w:pPr>
            <w:r w:rsidDel="00000000" w:rsidR="00000000" w:rsidRPr="00000000">
              <w:rPr>
                <w:rFonts w:ascii="Open Sans" w:cs="Open Sans" w:eastAsia="Open Sans" w:hAnsi="Open Sans"/>
                <w:color w:val="000000"/>
                <w:sz w:val="20"/>
                <w:szCs w:val="20"/>
                <w:rtl w:val="0"/>
              </w:rPr>
              <w:t xml:space="preserve">National Homelessness Law Center</w:t>
            </w:r>
          </w:p>
        </w:tc>
        <w:tc>
          <w:tcPr/>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ind w:left="720" w:hanging="360"/>
              <w:rPr>
                <w:rFonts w:ascii="Open Sans" w:cs="Open Sans" w:eastAsia="Open Sans" w:hAnsi="Open Sans"/>
                <w:color w:val="000000"/>
                <w:sz w:val="20"/>
                <w:szCs w:val="20"/>
              </w:rPr>
            </w:pPr>
            <w:r w:rsidDel="00000000" w:rsidR="00000000" w:rsidRPr="00000000">
              <w:rPr>
                <w:rFonts w:ascii="Open Sans" w:cs="Open Sans" w:eastAsia="Open Sans" w:hAnsi="Open Sans"/>
                <w:color w:val="000000"/>
                <w:sz w:val="20"/>
                <w:szCs w:val="20"/>
                <w:rtl w:val="0"/>
              </w:rPr>
              <w:t xml:space="preserve">(</w:t>
            </w:r>
            <w:hyperlink r:id="rId10">
              <w:r w:rsidDel="00000000" w:rsidR="00000000" w:rsidRPr="00000000">
                <w:rPr>
                  <w:rFonts w:ascii="Open Sans" w:cs="Open Sans" w:eastAsia="Open Sans" w:hAnsi="Open Sans"/>
                  <w:color w:val="000000"/>
                  <w:sz w:val="20"/>
                  <w:szCs w:val="20"/>
                  <w:rtl w:val="0"/>
                </w:rPr>
                <w:t xml:space="preserve">202) 638-2535</w:t>
              </w:r>
            </w:hyperlink>
            <w:r w:rsidDel="00000000" w:rsidR="00000000" w:rsidRPr="00000000">
              <w:rPr>
                <w:rtl w:val="0"/>
              </w:rPr>
            </w:r>
          </w:p>
        </w:tc>
        <w:tc>
          <w:tcPr/>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ind w:left="720" w:hanging="360"/>
              <w:rPr>
                <w:rFonts w:ascii="Open Sans" w:cs="Open Sans" w:eastAsia="Open Sans" w:hAnsi="Open Sans"/>
                <w:color w:val="000000"/>
                <w:sz w:val="20"/>
                <w:szCs w:val="20"/>
              </w:rPr>
            </w:pPr>
            <w:r w:rsidDel="00000000" w:rsidR="00000000" w:rsidRPr="00000000">
              <w:rPr>
                <w:rFonts w:ascii="Open Sans" w:cs="Open Sans" w:eastAsia="Open Sans" w:hAnsi="Open Sans"/>
                <w:color w:val="000000"/>
                <w:sz w:val="20"/>
                <w:szCs w:val="20"/>
                <w:rtl w:val="0"/>
              </w:rPr>
              <w:t xml:space="preserve">https://homelesslaw.org/</w:t>
            </w:r>
          </w:p>
        </w:tc>
      </w:tr>
      <w:tr>
        <w:trPr>
          <w:cantSplit w:val="0"/>
          <w:tblHeader w:val="0"/>
        </w:trPr>
        <w:tc>
          <w:tcPr/>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ind w:left="720" w:hanging="360"/>
              <w:rPr>
                <w:rFonts w:ascii="Open Sans" w:cs="Open Sans" w:eastAsia="Open Sans" w:hAnsi="Open Sans"/>
                <w:color w:val="000000"/>
                <w:sz w:val="20"/>
                <w:szCs w:val="20"/>
              </w:rPr>
            </w:pPr>
            <w:r w:rsidDel="00000000" w:rsidR="00000000" w:rsidRPr="00000000">
              <w:rPr>
                <w:rFonts w:ascii="Open Sans" w:cs="Open Sans" w:eastAsia="Open Sans" w:hAnsi="Open Sans"/>
                <w:color w:val="000000"/>
                <w:sz w:val="20"/>
                <w:szCs w:val="20"/>
                <w:rtl w:val="0"/>
              </w:rPr>
              <w:t xml:space="preserve">Arnold &amp;Porter</w:t>
            </w:r>
          </w:p>
        </w:tc>
        <w:tc>
          <w:tcPr/>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ind w:left="720" w:hanging="360"/>
              <w:rPr>
                <w:rFonts w:ascii="Open Sans" w:cs="Open Sans" w:eastAsia="Open Sans" w:hAnsi="Open Sans"/>
                <w:color w:val="000000"/>
                <w:sz w:val="20"/>
                <w:szCs w:val="20"/>
              </w:rPr>
            </w:pPr>
            <w:r w:rsidDel="00000000" w:rsidR="00000000" w:rsidRPr="00000000">
              <w:rPr>
                <w:rFonts w:ascii="Open Sans" w:cs="Open Sans" w:eastAsia="Open Sans" w:hAnsi="Open Sans"/>
                <w:color w:val="000000"/>
                <w:sz w:val="20"/>
                <w:szCs w:val="20"/>
                <w:rtl w:val="0"/>
              </w:rPr>
              <w:t xml:space="preserve">(</w:t>
            </w:r>
            <w:hyperlink r:id="rId11">
              <w:r w:rsidDel="00000000" w:rsidR="00000000" w:rsidRPr="00000000">
                <w:rPr>
                  <w:rFonts w:ascii="Open Sans" w:cs="Open Sans" w:eastAsia="Open Sans" w:hAnsi="Open Sans"/>
                  <w:color w:val="000000"/>
                  <w:sz w:val="20"/>
                  <w:szCs w:val="20"/>
                  <w:rtl w:val="0"/>
                </w:rPr>
                <w:t xml:space="preserve">202) 942-5765</w:t>
              </w:r>
            </w:hyperlink>
            <w:r w:rsidDel="00000000" w:rsidR="00000000" w:rsidRPr="00000000">
              <w:rPr>
                <w:rtl w:val="0"/>
              </w:rPr>
            </w:r>
          </w:p>
        </w:tc>
        <w:tc>
          <w:tcPr/>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ind w:left="720" w:hanging="360"/>
              <w:rPr>
                <w:rFonts w:ascii="Open Sans" w:cs="Open Sans" w:eastAsia="Open Sans" w:hAnsi="Open Sans"/>
                <w:color w:val="000000"/>
                <w:sz w:val="20"/>
                <w:szCs w:val="20"/>
              </w:rPr>
            </w:pPr>
            <w:r w:rsidDel="00000000" w:rsidR="00000000" w:rsidRPr="00000000">
              <w:rPr>
                <w:rFonts w:ascii="Open Sans" w:cs="Open Sans" w:eastAsia="Open Sans" w:hAnsi="Open Sans"/>
                <w:color w:val="000000"/>
                <w:sz w:val="20"/>
                <w:szCs w:val="20"/>
                <w:rtl w:val="0"/>
              </w:rPr>
              <w:t xml:space="preserve">https://www.arnoldporter.com/en</w:t>
            </w:r>
          </w:p>
        </w:tc>
      </w:tr>
    </w:tbl>
    <w:p w:rsidR="00000000" w:rsidDel="00000000" w:rsidP="00000000" w:rsidRDefault="00000000" w:rsidRPr="00000000" w14:paraId="0000002E">
      <w:pPr>
        <w:rPr>
          <w:rFonts w:ascii="Open Sans" w:cs="Open Sans" w:eastAsia="Open Sans" w:hAnsi="Open Sans"/>
          <w:color w:val="1f4e79"/>
          <w:sz w:val="28"/>
          <w:szCs w:val="28"/>
        </w:rPr>
      </w:pPr>
      <w:r w:rsidDel="00000000" w:rsidR="00000000" w:rsidRPr="00000000">
        <w:rPr>
          <w:rtl w:val="0"/>
        </w:rPr>
      </w:r>
    </w:p>
    <w:sectPr>
      <w:footerReference r:id="rId12"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a" w:customStyle="1">
    <w:basedOn w:val="TableNormal0"/>
    <w:pPr>
      <w:spacing w:after="0"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0"/>
    <w:pPr>
      <w:spacing w:after="0" w:line="240" w:lineRule="auto"/>
    </w:pPr>
    <w:tblPr>
      <w:tblStyleRowBandSize w:val="1"/>
      <w:tblStyleColBandSize w:val="1"/>
      <w:tblCellMar>
        <w:top w:w="0.0" w:type="dxa"/>
        <w:left w:w="108.0" w:type="dxa"/>
        <w:bottom w:w="0.0" w:type="dxa"/>
        <w:right w:w="108.0" w:type="dxa"/>
      </w:tblCellMar>
    </w:tblPr>
  </w:style>
  <w:style w:type="character" w:styleId="Hyperlink">
    <w:name w:val="Hyperlink"/>
    <w:basedOn w:val="DefaultParagraphFont"/>
    <w:uiPriority w:val="99"/>
    <w:unhideWhenUsed w:val="1"/>
    <w:rsid w:val="00557C14"/>
    <w:rPr>
      <w:color w:val="0000ff" w:themeColor="hyperlink"/>
      <w:u w:val="single"/>
    </w:rPr>
  </w:style>
  <w:style w:type="character" w:styleId="UnresolvedMention">
    <w:name w:val="Unresolved Mention"/>
    <w:basedOn w:val="DefaultParagraphFont"/>
    <w:uiPriority w:val="99"/>
    <w:semiHidden w:val="1"/>
    <w:unhideWhenUsed w:val="1"/>
    <w:rsid w:val="00557C14"/>
    <w:rPr>
      <w:color w:val="605e5c"/>
      <w:shd w:color="auto" w:fill="e1dfdd" w:val="clear"/>
    </w:rPr>
  </w:style>
  <w:style w:type="paragraph" w:styleId="Header">
    <w:name w:val="header"/>
    <w:basedOn w:val="Normal"/>
    <w:link w:val="HeaderChar"/>
    <w:uiPriority w:val="99"/>
    <w:unhideWhenUsed w:val="1"/>
    <w:rsid w:val="002A1DCD"/>
    <w:pPr>
      <w:tabs>
        <w:tab w:val="center" w:pos="4680"/>
        <w:tab w:val="right" w:pos="9360"/>
      </w:tabs>
      <w:spacing w:after="0" w:line="240" w:lineRule="auto"/>
    </w:pPr>
  </w:style>
  <w:style w:type="character" w:styleId="HeaderChar" w:customStyle="1">
    <w:name w:val="Header Char"/>
    <w:basedOn w:val="DefaultParagraphFont"/>
    <w:link w:val="Header"/>
    <w:uiPriority w:val="99"/>
    <w:rsid w:val="002A1DCD"/>
  </w:style>
  <w:style w:type="paragraph" w:styleId="Footer">
    <w:name w:val="footer"/>
    <w:basedOn w:val="Normal"/>
    <w:link w:val="FooterChar"/>
    <w:uiPriority w:val="99"/>
    <w:unhideWhenUsed w:val="1"/>
    <w:rsid w:val="002A1DCD"/>
    <w:pPr>
      <w:tabs>
        <w:tab w:val="center" w:pos="4680"/>
        <w:tab w:val="right" w:pos="9360"/>
      </w:tabs>
      <w:spacing w:after="0" w:line="240" w:lineRule="auto"/>
    </w:pPr>
  </w:style>
  <w:style w:type="character" w:styleId="FooterChar" w:customStyle="1">
    <w:name w:val="Footer Char"/>
    <w:basedOn w:val="DefaultParagraphFont"/>
    <w:link w:val="Footer"/>
    <w:uiPriority w:val="99"/>
    <w:rsid w:val="002A1DCD"/>
  </w:style>
  <w:style w:type="paragraph" w:styleId="Default" w:customStyle="1">
    <w:name w:val="Default"/>
    <w:uiPriority w:val="99"/>
    <w:rsid w:val="006A6196"/>
    <w:pPr>
      <w:tabs>
        <w:tab w:val="left" w:pos="709"/>
      </w:tabs>
      <w:suppressAutoHyphens w:val="1"/>
      <w:spacing w:after="0" w:line="240" w:lineRule="auto"/>
    </w:pPr>
    <w:rPr>
      <w:rFonts w:ascii="Cambria" w:cs="Cambria" w:hAnsi="Cambria" w:eastAsiaTheme="minorEastAsia"/>
      <w:sz w:val="24"/>
      <w:szCs w:val="24"/>
      <w:lang w:eastAsia="ar-SA" w:val="en-US"/>
    </w:rPr>
  </w:style>
  <w:style w:type="paragraph" w:styleId="ListParagraph">
    <w:name w:val="List Paragraph"/>
    <w:basedOn w:val="Normal"/>
    <w:qFormat w:val="1"/>
    <w:rsid w:val="00814F10"/>
    <w:pPr>
      <w:spacing w:line="278" w:lineRule="auto"/>
      <w:ind w:left="720"/>
      <w:contextualSpacing w:val="1"/>
    </w:pPr>
    <w:rPr>
      <w:rFonts w:asciiTheme="minorHAnsi" w:cstheme="minorBidi" w:eastAsiaTheme="minorHAnsi" w:hAnsiTheme="minorHAnsi"/>
      <w:kern w:val="2"/>
      <w:sz w:val="24"/>
      <w:szCs w:val="24"/>
      <w:lang w:val="en-US"/>
    </w:rPr>
  </w:style>
  <w:style w:type="paragraph" w:styleId="BodyText">
    <w:name w:val="Body Text"/>
    <w:basedOn w:val="Normal"/>
    <w:link w:val="BodyTextChar"/>
    <w:qFormat w:val="1"/>
    <w:rsid w:val="00814F10"/>
    <w:pPr>
      <w:spacing w:after="180" w:before="180" w:line="240" w:lineRule="auto"/>
    </w:pPr>
    <w:rPr>
      <w:rFonts w:asciiTheme="minorHAnsi" w:cstheme="minorBidi" w:eastAsiaTheme="minorEastAsia" w:hAnsiTheme="minorHAnsi"/>
      <w:sz w:val="24"/>
      <w:szCs w:val="24"/>
      <w:lang w:eastAsia="zh-CN" w:val="en-US"/>
    </w:rPr>
  </w:style>
  <w:style w:type="character" w:styleId="BodyTextChar" w:customStyle="1">
    <w:name w:val="Body Text Char"/>
    <w:basedOn w:val="DefaultParagraphFont"/>
    <w:link w:val="BodyText"/>
    <w:rsid w:val="00814F10"/>
    <w:rPr>
      <w:rFonts w:asciiTheme="minorHAnsi" w:cstheme="minorBidi" w:eastAsiaTheme="minorEastAsia" w:hAnsiTheme="minorHAnsi"/>
      <w:sz w:val="24"/>
      <w:szCs w:val="24"/>
      <w:lang w:eastAsia="zh-CN" w:val="en-US"/>
    </w:rPr>
  </w:style>
  <w:style w:type="paragraph" w:styleId="FirstParagraph" w:customStyle="1">
    <w:name w:val="First Paragraph"/>
    <w:basedOn w:val="BodyText"/>
    <w:next w:val="BodyText"/>
    <w:qFormat w:val="1"/>
    <w:rsid w:val="00814F10"/>
  </w:style>
  <w:style w:type="paragraph" w:styleId="Compact" w:customStyle="1">
    <w:name w:val="Compact"/>
    <w:basedOn w:val="BodyText"/>
    <w:qFormat w:val="1"/>
    <w:rsid w:val="00814F10"/>
    <w:pPr>
      <w:spacing w:after="36" w:before="36"/>
    </w:p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tel:+1%20202.942.5765" TargetMode="External"/><Relationship Id="rId10" Type="http://schemas.openxmlformats.org/officeDocument/2006/relationships/hyperlink" Target="tel:202.638.2535" TargetMode="External"/><Relationship Id="rId12" Type="http://schemas.openxmlformats.org/officeDocument/2006/relationships/footer" Target="footer1.xml"/><Relationship Id="rId9" Type="http://schemas.openxmlformats.org/officeDocument/2006/relationships/hyperlink" Target="https://www.google.com/search?q=aclu+of+new+mexico&amp;rlz=1C1RXQR_enUS1096US1099&amp;oq=ACLU+Of+new+mexico&amp;gs_lcrp=EgZjaHJvbWUqCggAEAAY4wIYgAQyCggAEAAY4wIYgAQyDQgBEC4YrwEYxwEYgAQyCAgCEAAYFhgeMggIAxAAGBYYHjIICAQQABgWGB4yCAgFEAAYFhgeMggIBhAAGBYYHjIICAcQABgWGB4yCAgIEAAYFhgeMggICRAAGBYYHtIBCDYyMjJqMGo5qAIAsAIB8QX5xtx-_k9nhQ&amp;sourceid=chrome&amp;ie=UTF-8"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google.com/search?q=Flores+and+Ives&amp;rlz=1C1RXQR_enUS1096US1099&amp;oq=Flores+and+Ives&amp;gs_lcrp=EgZjaHJvbWUyBggAEEUYOTINCAEQABiGAxiABBiKBTIHCAIQABjvBTIHCAMQABjvBTIKCAQQABiABBiiBNIBCDQxNDNqMGo3qAIIsAIB8QWZ8z0iDYvH_g&amp;sourceid=chrome&amp;ie=UTF-8"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3VZy7NRXSa931vvBV9F9W4LHoQ==">CgMxLjA4AHIhMVlQSElUWjNld2J2NmF3RHZXbklPVVFEWDNhVGZlSE44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2026-09-02T22:00:00Z</dcterms:created>
  <dc:creator>ACF</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0x010100643B4F5D1586254FA458FF9587383411</vt:lpwstr>
  </property>
  <property fmtid="{D5CDD505-2E9C-101B-9397-08002B2CF9AE}" pid="3" name="MediaServiceImageTags">
    <vt:lpwstr>MediaServiceImageTags</vt:lpwstr>
  </property>
</Properties>
</file>